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61E" w:rsidRDefault="007C25D4" w:rsidP="00FB361E">
      <w:pPr>
        <w:bidi/>
        <w:jc w:val="center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FB78A3" w:rsidRPr="009D0F4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bookmarkEnd w:id="0"/>
      <w:r w:rsidR="00FB78A3" w:rsidRPr="009D0F43">
        <w:rPr>
          <w:rFonts w:ascii="IRBadr" w:hAnsi="IRBadr" w:cs="IRBadr"/>
          <w:sz w:val="28"/>
          <w:szCs w:val="28"/>
          <w:rtl/>
          <w:lang w:bidi="fa-IR"/>
        </w:rPr>
        <w:t>الرحمن الرحیم</w:t>
      </w:r>
    </w:p>
    <w:p w:rsidR="009D0F43" w:rsidRDefault="009D0F43" w:rsidP="009D0F43">
      <w:pPr>
        <w:bidi/>
        <w:jc w:val="center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فهرست مطالب:</w:t>
      </w:r>
    </w:p>
    <w:p w:rsidR="009D0F43" w:rsidRDefault="009D0F43" w:rsidP="009D0F43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r>
        <w:rPr>
          <w:rFonts w:ascii="IRBadr" w:hAnsi="IRBadr" w:cs="IRBadr"/>
          <w:sz w:val="28"/>
          <w:rtl/>
        </w:rPr>
        <w:fldChar w:fldCharType="begin"/>
      </w:r>
      <w:r>
        <w:rPr>
          <w:rFonts w:ascii="IRBadr" w:hAnsi="IRBadr" w:cs="IRBadr"/>
          <w:sz w:val="28"/>
          <w:rtl/>
        </w:rPr>
        <w:instrText xml:space="preserve"> </w:instrText>
      </w:r>
      <w:r>
        <w:rPr>
          <w:rFonts w:ascii="IRBadr" w:hAnsi="IRBadr" w:cs="IRBadr"/>
          <w:sz w:val="28"/>
        </w:rPr>
        <w:instrText>TOC</w:instrText>
      </w:r>
      <w:r>
        <w:rPr>
          <w:rFonts w:ascii="IRBadr" w:hAnsi="IRBadr" w:cs="IRBadr"/>
          <w:sz w:val="28"/>
          <w:rtl/>
        </w:rPr>
        <w:instrText xml:space="preserve"> \</w:instrText>
      </w:r>
      <w:r>
        <w:rPr>
          <w:rFonts w:ascii="IRBadr" w:hAnsi="IRBadr" w:cs="IRBadr"/>
          <w:sz w:val="28"/>
        </w:rPr>
        <w:instrText>o "</w:instrText>
      </w:r>
      <w:r>
        <w:rPr>
          <w:rFonts w:ascii="IRBadr" w:hAnsi="IRBadr" w:cs="IRBadr"/>
          <w:sz w:val="28"/>
          <w:rtl/>
        </w:rPr>
        <w:instrText>1-3</w:instrText>
      </w:r>
      <w:r>
        <w:rPr>
          <w:rFonts w:ascii="IRBadr" w:hAnsi="IRBadr" w:cs="IRBadr"/>
          <w:sz w:val="28"/>
        </w:rPr>
        <w:instrText>" \h \z \u</w:instrText>
      </w:r>
      <w:r>
        <w:rPr>
          <w:rFonts w:ascii="IRBadr" w:hAnsi="IRBadr" w:cs="IRBadr"/>
          <w:sz w:val="28"/>
          <w:rtl/>
        </w:rPr>
        <w:instrText xml:space="preserve"> </w:instrText>
      </w:r>
      <w:r>
        <w:rPr>
          <w:rFonts w:ascii="IRBadr" w:hAnsi="IRBadr" w:cs="IRBadr"/>
          <w:sz w:val="28"/>
          <w:rtl/>
        </w:rPr>
        <w:fldChar w:fldCharType="separate"/>
      </w:r>
      <w:hyperlink w:anchor="_Toc425844350" w:history="1">
        <w:r w:rsidRPr="00CC15CB">
          <w:rPr>
            <w:rStyle w:val="Hyperlink"/>
            <w:rFonts w:ascii="IRBadr" w:hAnsi="IRBadr" w:cs="IRBadr" w:hint="eastAsia"/>
            <w:noProof/>
            <w:rtl/>
          </w:rPr>
          <w:t>اعضا</w:t>
        </w:r>
        <w:r w:rsidRPr="00CC15CB">
          <w:rPr>
            <w:rStyle w:val="Hyperlink"/>
            <w:rFonts w:ascii="IRBadr" w:hAnsi="IRBadr" w:cs="IRBadr" w:hint="cs"/>
            <w:noProof/>
            <w:rtl/>
          </w:rPr>
          <w:t>ی</w:t>
        </w:r>
        <w:r w:rsidRPr="00CC15CB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C15CB">
          <w:rPr>
            <w:rStyle w:val="Hyperlink"/>
            <w:rFonts w:ascii="IRBadr" w:hAnsi="IRBadr" w:cs="IRBadr" w:hint="eastAsia"/>
            <w:noProof/>
            <w:rtl/>
          </w:rPr>
          <w:t>استثنا</w:t>
        </w:r>
        <w:r w:rsidRPr="00CC15CB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C15CB">
          <w:rPr>
            <w:rStyle w:val="Hyperlink"/>
            <w:rFonts w:ascii="IRBadr" w:hAnsi="IRBadr" w:cs="IRBadr" w:hint="eastAsia"/>
            <w:noProof/>
            <w:rtl/>
          </w:rPr>
          <w:t>شده</w:t>
        </w:r>
        <w:r w:rsidRPr="00CC15CB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C15CB">
          <w:rPr>
            <w:rStyle w:val="Hyperlink"/>
            <w:rFonts w:ascii="IRBadr" w:hAnsi="IRBadr" w:cs="IRBadr" w:hint="eastAsia"/>
            <w:noProof/>
            <w:rtl/>
          </w:rPr>
          <w:t>در</w:t>
        </w:r>
        <w:r w:rsidRPr="00CC15CB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C15CB">
          <w:rPr>
            <w:rStyle w:val="Hyperlink"/>
            <w:rFonts w:ascii="IRBadr" w:hAnsi="IRBadr" w:cs="IRBadr" w:hint="eastAsia"/>
            <w:noProof/>
            <w:rtl/>
          </w:rPr>
          <w:t>حد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_Toc425844350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9D0F43" w:rsidRDefault="00690779" w:rsidP="009D0F43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844351" w:history="1">
        <w:r w:rsidR="009D0F43" w:rsidRPr="00CC15CB">
          <w:rPr>
            <w:rStyle w:val="Hyperlink"/>
            <w:rFonts w:ascii="IRBadr" w:hAnsi="IRBadr" w:cs="IRBadr" w:hint="eastAsia"/>
            <w:noProof/>
            <w:rtl/>
          </w:rPr>
          <w:t>جلد</w:t>
        </w:r>
        <w:r w:rsidR="009D0F43" w:rsidRPr="00CC15CB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9D0F43" w:rsidRPr="00CC15CB">
          <w:rPr>
            <w:rStyle w:val="Hyperlink"/>
            <w:rFonts w:ascii="IRBadr" w:hAnsi="IRBadr" w:cs="IRBadr" w:hint="eastAsia"/>
            <w:noProof/>
            <w:rtl/>
          </w:rPr>
          <w:t>عرف</w:t>
        </w:r>
        <w:r w:rsidR="009D0F43" w:rsidRPr="00CC15CB">
          <w:rPr>
            <w:rStyle w:val="Hyperlink"/>
            <w:rFonts w:ascii="IRBadr" w:hAnsi="IRBadr" w:cs="IRBadr" w:hint="cs"/>
            <w:noProof/>
            <w:rtl/>
          </w:rPr>
          <w:t>ی</w:t>
        </w:r>
        <w:r w:rsidR="009D0F43">
          <w:rPr>
            <w:noProof/>
            <w:webHidden/>
          </w:rPr>
          <w:tab/>
        </w:r>
        <w:r w:rsidR="009D0F43">
          <w:rPr>
            <w:rStyle w:val="Hyperlink"/>
            <w:noProof/>
            <w:rtl/>
          </w:rPr>
          <w:fldChar w:fldCharType="begin"/>
        </w:r>
        <w:r w:rsidR="009D0F43">
          <w:rPr>
            <w:noProof/>
            <w:webHidden/>
          </w:rPr>
          <w:instrText xml:space="preserve"> PAGEREF _Toc425844351 \h </w:instrText>
        </w:r>
        <w:r w:rsidR="009D0F43">
          <w:rPr>
            <w:rStyle w:val="Hyperlink"/>
            <w:noProof/>
            <w:rtl/>
          </w:rPr>
        </w:r>
        <w:r w:rsidR="009D0F43">
          <w:rPr>
            <w:rStyle w:val="Hyperlink"/>
            <w:noProof/>
            <w:rtl/>
          </w:rPr>
          <w:fldChar w:fldCharType="separate"/>
        </w:r>
        <w:r w:rsidR="009D0F43">
          <w:rPr>
            <w:noProof/>
            <w:webHidden/>
          </w:rPr>
          <w:t>2</w:t>
        </w:r>
        <w:r w:rsidR="009D0F43">
          <w:rPr>
            <w:rStyle w:val="Hyperlink"/>
            <w:noProof/>
            <w:rtl/>
          </w:rPr>
          <w:fldChar w:fldCharType="end"/>
        </w:r>
      </w:hyperlink>
    </w:p>
    <w:p w:rsidR="009D0F43" w:rsidRDefault="00690779" w:rsidP="009D0F43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844352" w:history="1">
        <w:r w:rsidR="009D0F43" w:rsidRPr="00CC15CB">
          <w:rPr>
            <w:rStyle w:val="Hyperlink"/>
            <w:rFonts w:ascii="IRBadr" w:hAnsi="IRBadr" w:cs="IRBadr" w:hint="eastAsia"/>
            <w:noProof/>
            <w:rtl/>
          </w:rPr>
          <w:t>تشر</w:t>
        </w:r>
        <w:r w:rsidR="009D0F43" w:rsidRPr="00CC15CB">
          <w:rPr>
            <w:rStyle w:val="Hyperlink"/>
            <w:rFonts w:ascii="IRBadr" w:hAnsi="IRBadr" w:cs="IRBadr" w:hint="cs"/>
            <w:noProof/>
            <w:rtl/>
          </w:rPr>
          <w:t>ی</w:t>
        </w:r>
        <w:r w:rsidR="009D0F43" w:rsidRPr="00CC15CB">
          <w:rPr>
            <w:rStyle w:val="Hyperlink"/>
            <w:rFonts w:ascii="IRBadr" w:hAnsi="IRBadr" w:cs="IRBadr" w:hint="eastAsia"/>
            <w:noProof/>
            <w:rtl/>
          </w:rPr>
          <w:t>ح</w:t>
        </w:r>
        <w:r w:rsidR="009D0F43" w:rsidRPr="00CC15CB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9D0F43" w:rsidRPr="00CC15CB">
          <w:rPr>
            <w:rStyle w:val="Hyperlink"/>
            <w:rFonts w:ascii="IRBadr" w:hAnsi="IRBadr" w:cs="IRBadr" w:hint="eastAsia"/>
            <w:noProof/>
            <w:rtl/>
          </w:rPr>
          <w:t>معنا</w:t>
        </w:r>
        <w:r w:rsidR="009D0F43" w:rsidRPr="00CC15CB">
          <w:rPr>
            <w:rStyle w:val="Hyperlink"/>
            <w:rFonts w:ascii="IRBadr" w:hAnsi="IRBadr" w:cs="IRBadr" w:hint="cs"/>
            <w:noProof/>
            <w:rtl/>
          </w:rPr>
          <w:t>ی</w:t>
        </w:r>
        <w:r w:rsidR="009D0F43" w:rsidRPr="00CC15CB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9D0F43" w:rsidRPr="00CC15CB">
          <w:rPr>
            <w:rStyle w:val="Hyperlink"/>
            <w:rFonts w:ascii="IRBadr" w:hAnsi="IRBadr" w:cs="IRBadr" w:hint="eastAsia"/>
            <w:noProof/>
            <w:rtl/>
          </w:rPr>
          <w:t>عرف</w:t>
        </w:r>
        <w:r w:rsidR="009D0F43" w:rsidRPr="00CC15CB">
          <w:rPr>
            <w:rStyle w:val="Hyperlink"/>
            <w:rFonts w:ascii="IRBadr" w:hAnsi="IRBadr" w:cs="IRBadr" w:hint="cs"/>
            <w:noProof/>
            <w:rtl/>
          </w:rPr>
          <w:t>ی</w:t>
        </w:r>
        <w:r w:rsidR="009D0F43" w:rsidRPr="00CC15CB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9D0F43" w:rsidRPr="00CC15CB">
          <w:rPr>
            <w:rStyle w:val="Hyperlink"/>
            <w:rFonts w:ascii="IRBadr" w:hAnsi="IRBadr" w:cs="IRBadr" w:hint="eastAsia"/>
            <w:noProof/>
            <w:rtl/>
          </w:rPr>
          <w:t>جلد</w:t>
        </w:r>
        <w:r w:rsidR="009D0F43">
          <w:rPr>
            <w:noProof/>
            <w:webHidden/>
          </w:rPr>
          <w:tab/>
        </w:r>
        <w:r w:rsidR="009D0F43">
          <w:rPr>
            <w:rStyle w:val="Hyperlink"/>
            <w:noProof/>
            <w:rtl/>
          </w:rPr>
          <w:fldChar w:fldCharType="begin"/>
        </w:r>
        <w:r w:rsidR="009D0F43">
          <w:rPr>
            <w:noProof/>
            <w:webHidden/>
          </w:rPr>
          <w:instrText xml:space="preserve"> PAGEREF _Toc425844352 \h </w:instrText>
        </w:r>
        <w:r w:rsidR="009D0F43">
          <w:rPr>
            <w:rStyle w:val="Hyperlink"/>
            <w:noProof/>
            <w:rtl/>
          </w:rPr>
        </w:r>
        <w:r w:rsidR="009D0F43">
          <w:rPr>
            <w:rStyle w:val="Hyperlink"/>
            <w:noProof/>
            <w:rtl/>
          </w:rPr>
          <w:fldChar w:fldCharType="separate"/>
        </w:r>
        <w:r w:rsidR="009D0F43">
          <w:rPr>
            <w:noProof/>
            <w:webHidden/>
          </w:rPr>
          <w:t>2</w:t>
        </w:r>
        <w:r w:rsidR="009D0F43">
          <w:rPr>
            <w:rStyle w:val="Hyperlink"/>
            <w:noProof/>
            <w:rtl/>
          </w:rPr>
          <w:fldChar w:fldCharType="end"/>
        </w:r>
      </w:hyperlink>
    </w:p>
    <w:p w:rsidR="009D0F43" w:rsidRDefault="00690779" w:rsidP="009D0F43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844353" w:history="1">
        <w:r w:rsidR="009D0F43" w:rsidRPr="00CC15CB">
          <w:rPr>
            <w:rStyle w:val="Hyperlink"/>
            <w:rFonts w:ascii="IRBadr" w:hAnsi="IRBadr" w:cs="IRBadr" w:hint="eastAsia"/>
            <w:noProof/>
            <w:rtl/>
          </w:rPr>
          <w:t>نظر</w:t>
        </w:r>
        <w:r w:rsidR="009D0F43" w:rsidRPr="00CC15CB">
          <w:rPr>
            <w:rStyle w:val="Hyperlink"/>
            <w:rFonts w:ascii="IRBadr" w:hAnsi="IRBadr" w:cs="IRBadr" w:hint="cs"/>
            <w:noProof/>
            <w:rtl/>
          </w:rPr>
          <w:t>ی</w:t>
        </w:r>
        <w:r w:rsidR="009D0F43" w:rsidRPr="00CC15CB">
          <w:rPr>
            <w:rStyle w:val="Hyperlink"/>
            <w:rFonts w:ascii="IRBadr" w:hAnsi="IRBadr" w:cs="IRBadr" w:hint="eastAsia"/>
            <w:noProof/>
            <w:rtl/>
          </w:rPr>
          <w:t>ه</w:t>
        </w:r>
        <w:r w:rsidR="009D0F43" w:rsidRPr="00CC15CB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9D0F43" w:rsidRPr="00CC15CB">
          <w:rPr>
            <w:rStyle w:val="Hyperlink"/>
            <w:rFonts w:ascii="IRBadr" w:hAnsi="IRBadr" w:cs="IRBadr" w:hint="eastAsia"/>
            <w:noProof/>
            <w:rtl/>
          </w:rPr>
          <w:t>دوم</w:t>
        </w:r>
        <w:r w:rsidR="009D0F43">
          <w:rPr>
            <w:noProof/>
            <w:webHidden/>
          </w:rPr>
          <w:tab/>
        </w:r>
        <w:r w:rsidR="009D0F43">
          <w:rPr>
            <w:rStyle w:val="Hyperlink"/>
            <w:noProof/>
            <w:rtl/>
          </w:rPr>
          <w:fldChar w:fldCharType="begin"/>
        </w:r>
        <w:r w:rsidR="009D0F43">
          <w:rPr>
            <w:noProof/>
            <w:webHidden/>
          </w:rPr>
          <w:instrText xml:space="preserve"> PAGEREF _Toc425844353 \h </w:instrText>
        </w:r>
        <w:r w:rsidR="009D0F43">
          <w:rPr>
            <w:rStyle w:val="Hyperlink"/>
            <w:noProof/>
            <w:rtl/>
          </w:rPr>
        </w:r>
        <w:r w:rsidR="009D0F43">
          <w:rPr>
            <w:rStyle w:val="Hyperlink"/>
            <w:noProof/>
            <w:rtl/>
          </w:rPr>
          <w:fldChar w:fldCharType="separate"/>
        </w:r>
        <w:r w:rsidR="009D0F43">
          <w:rPr>
            <w:noProof/>
            <w:webHidden/>
          </w:rPr>
          <w:t>2</w:t>
        </w:r>
        <w:r w:rsidR="009D0F43">
          <w:rPr>
            <w:rStyle w:val="Hyperlink"/>
            <w:noProof/>
            <w:rtl/>
          </w:rPr>
          <w:fldChar w:fldCharType="end"/>
        </w:r>
      </w:hyperlink>
    </w:p>
    <w:p w:rsidR="009D0F43" w:rsidRDefault="00690779" w:rsidP="009D0F43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844354" w:history="1">
        <w:r w:rsidR="009D0F43" w:rsidRPr="00CC15CB">
          <w:rPr>
            <w:rStyle w:val="Hyperlink"/>
            <w:rFonts w:ascii="IRBadr" w:hAnsi="IRBadr" w:cs="IRBadr" w:hint="eastAsia"/>
            <w:noProof/>
            <w:rtl/>
          </w:rPr>
          <w:t>اتخاذ</w:t>
        </w:r>
        <w:r w:rsidR="009D0F43" w:rsidRPr="00CC15CB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9D0F43" w:rsidRPr="00CC15CB">
          <w:rPr>
            <w:rStyle w:val="Hyperlink"/>
            <w:rFonts w:ascii="IRBadr" w:hAnsi="IRBadr" w:cs="IRBadr" w:hint="eastAsia"/>
            <w:noProof/>
            <w:rtl/>
          </w:rPr>
          <w:t>مبنا</w:t>
        </w:r>
        <w:r w:rsidR="009D0F43">
          <w:rPr>
            <w:noProof/>
            <w:webHidden/>
          </w:rPr>
          <w:tab/>
        </w:r>
        <w:r w:rsidR="009D0F43">
          <w:rPr>
            <w:rStyle w:val="Hyperlink"/>
            <w:noProof/>
            <w:rtl/>
          </w:rPr>
          <w:fldChar w:fldCharType="begin"/>
        </w:r>
        <w:r w:rsidR="009D0F43">
          <w:rPr>
            <w:noProof/>
            <w:webHidden/>
          </w:rPr>
          <w:instrText xml:space="preserve"> PAGEREF _Toc425844354 \h </w:instrText>
        </w:r>
        <w:r w:rsidR="009D0F43">
          <w:rPr>
            <w:rStyle w:val="Hyperlink"/>
            <w:noProof/>
            <w:rtl/>
          </w:rPr>
        </w:r>
        <w:r w:rsidR="009D0F43">
          <w:rPr>
            <w:rStyle w:val="Hyperlink"/>
            <w:noProof/>
            <w:rtl/>
          </w:rPr>
          <w:fldChar w:fldCharType="separate"/>
        </w:r>
        <w:r w:rsidR="009D0F43">
          <w:rPr>
            <w:noProof/>
            <w:webHidden/>
          </w:rPr>
          <w:t>2</w:t>
        </w:r>
        <w:r w:rsidR="009D0F43">
          <w:rPr>
            <w:rStyle w:val="Hyperlink"/>
            <w:noProof/>
            <w:rtl/>
          </w:rPr>
          <w:fldChar w:fldCharType="end"/>
        </w:r>
      </w:hyperlink>
    </w:p>
    <w:p w:rsidR="009D0F43" w:rsidRDefault="00690779" w:rsidP="009D0F43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844355" w:history="1">
        <w:r w:rsidR="009D0F43" w:rsidRPr="00CC15CB">
          <w:rPr>
            <w:rStyle w:val="Hyperlink"/>
            <w:rFonts w:ascii="IRBadr" w:hAnsi="IRBadr" w:cs="IRBadr" w:hint="eastAsia"/>
            <w:noProof/>
            <w:rtl/>
          </w:rPr>
          <w:t>اشکال</w:t>
        </w:r>
        <w:r w:rsidR="009D0F43" w:rsidRPr="00CC15CB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9D0F43" w:rsidRPr="00CC15CB">
          <w:rPr>
            <w:rStyle w:val="Hyperlink"/>
            <w:rFonts w:ascii="IRBadr" w:hAnsi="IRBadr" w:cs="IRBadr" w:hint="eastAsia"/>
            <w:noProof/>
            <w:rtl/>
          </w:rPr>
          <w:t>دوم</w:t>
        </w:r>
        <w:r w:rsidR="009D0F43">
          <w:rPr>
            <w:noProof/>
            <w:webHidden/>
          </w:rPr>
          <w:tab/>
        </w:r>
        <w:r w:rsidR="009D0F43">
          <w:rPr>
            <w:rStyle w:val="Hyperlink"/>
            <w:noProof/>
            <w:rtl/>
          </w:rPr>
          <w:fldChar w:fldCharType="begin"/>
        </w:r>
        <w:r w:rsidR="009D0F43">
          <w:rPr>
            <w:noProof/>
            <w:webHidden/>
          </w:rPr>
          <w:instrText xml:space="preserve"> PAGEREF _Toc425844355 \h </w:instrText>
        </w:r>
        <w:r w:rsidR="009D0F43">
          <w:rPr>
            <w:rStyle w:val="Hyperlink"/>
            <w:noProof/>
            <w:rtl/>
          </w:rPr>
        </w:r>
        <w:r w:rsidR="009D0F43">
          <w:rPr>
            <w:rStyle w:val="Hyperlink"/>
            <w:noProof/>
            <w:rtl/>
          </w:rPr>
          <w:fldChar w:fldCharType="separate"/>
        </w:r>
        <w:r w:rsidR="009D0F43">
          <w:rPr>
            <w:noProof/>
            <w:webHidden/>
          </w:rPr>
          <w:t>2</w:t>
        </w:r>
        <w:r w:rsidR="009D0F43">
          <w:rPr>
            <w:rStyle w:val="Hyperlink"/>
            <w:noProof/>
            <w:rtl/>
          </w:rPr>
          <w:fldChar w:fldCharType="end"/>
        </w:r>
      </w:hyperlink>
    </w:p>
    <w:p w:rsidR="009D0F43" w:rsidRDefault="00690779" w:rsidP="009D0F43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844356" w:history="1">
        <w:r w:rsidR="009D0F43" w:rsidRPr="00CC15CB">
          <w:rPr>
            <w:rStyle w:val="Hyperlink"/>
            <w:rFonts w:ascii="IRBadr" w:hAnsi="IRBadr" w:cs="IRBadr" w:hint="eastAsia"/>
            <w:noProof/>
            <w:rtl/>
          </w:rPr>
          <w:t>جمع</w:t>
        </w:r>
        <w:r w:rsidR="009D0F43" w:rsidRPr="00CC15CB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9D0F43" w:rsidRPr="00CC15CB">
          <w:rPr>
            <w:rStyle w:val="Hyperlink"/>
            <w:rFonts w:ascii="IRBadr" w:hAnsi="IRBadr" w:cs="IRBadr" w:hint="eastAsia"/>
            <w:noProof/>
            <w:rtl/>
          </w:rPr>
          <w:t>بند</w:t>
        </w:r>
        <w:r w:rsidR="009D0F43" w:rsidRPr="00CC15CB">
          <w:rPr>
            <w:rStyle w:val="Hyperlink"/>
            <w:rFonts w:ascii="IRBadr" w:hAnsi="IRBadr" w:cs="IRBadr" w:hint="cs"/>
            <w:noProof/>
            <w:rtl/>
          </w:rPr>
          <w:t>ی</w:t>
        </w:r>
        <w:r w:rsidR="009D0F43">
          <w:rPr>
            <w:noProof/>
            <w:webHidden/>
          </w:rPr>
          <w:tab/>
        </w:r>
        <w:r w:rsidR="009D0F43">
          <w:rPr>
            <w:rStyle w:val="Hyperlink"/>
            <w:noProof/>
            <w:rtl/>
          </w:rPr>
          <w:fldChar w:fldCharType="begin"/>
        </w:r>
        <w:r w:rsidR="009D0F43">
          <w:rPr>
            <w:noProof/>
            <w:webHidden/>
          </w:rPr>
          <w:instrText xml:space="preserve"> PAGEREF _Toc425844356 \h </w:instrText>
        </w:r>
        <w:r w:rsidR="009D0F43">
          <w:rPr>
            <w:rStyle w:val="Hyperlink"/>
            <w:noProof/>
            <w:rtl/>
          </w:rPr>
        </w:r>
        <w:r w:rsidR="009D0F43">
          <w:rPr>
            <w:rStyle w:val="Hyperlink"/>
            <w:noProof/>
            <w:rtl/>
          </w:rPr>
          <w:fldChar w:fldCharType="separate"/>
        </w:r>
        <w:r w:rsidR="009D0F43">
          <w:rPr>
            <w:noProof/>
            <w:webHidden/>
          </w:rPr>
          <w:t>3</w:t>
        </w:r>
        <w:r w:rsidR="009D0F43">
          <w:rPr>
            <w:rStyle w:val="Hyperlink"/>
            <w:noProof/>
            <w:rtl/>
          </w:rPr>
          <w:fldChar w:fldCharType="end"/>
        </w:r>
      </w:hyperlink>
    </w:p>
    <w:p w:rsidR="009D0F43" w:rsidRDefault="00690779" w:rsidP="009D0F43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5844357" w:history="1">
        <w:r w:rsidR="009D0F43" w:rsidRPr="00CC15CB">
          <w:rPr>
            <w:rStyle w:val="Hyperlink"/>
            <w:rFonts w:ascii="IRBadr" w:hAnsi="IRBadr" w:cs="IRBadr" w:hint="eastAsia"/>
            <w:noProof/>
            <w:rtl/>
          </w:rPr>
          <w:t>اهم</w:t>
        </w:r>
        <w:r w:rsidR="009D0F43" w:rsidRPr="00CC15CB">
          <w:rPr>
            <w:rStyle w:val="Hyperlink"/>
            <w:rFonts w:ascii="IRBadr" w:hAnsi="IRBadr" w:cs="IRBadr" w:hint="cs"/>
            <w:noProof/>
            <w:rtl/>
          </w:rPr>
          <w:t>ی</w:t>
        </w:r>
        <w:r w:rsidR="009D0F43" w:rsidRPr="00CC15CB">
          <w:rPr>
            <w:rStyle w:val="Hyperlink"/>
            <w:rFonts w:ascii="IRBadr" w:hAnsi="IRBadr" w:cs="IRBadr" w:hint="eastAsia"/>
            <w:noProof/>
            <w:rtl/>
          </w:rPr>
          <w:t>ت</w:t>
        </w:r>
        <w:r w:rsidR="009D0F43" w:rsidRPr="00CC15CB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9D0F43" w:rsidRPr="00CC15CB">
          <w:rPr>
            <w:rStyle w:val="Hyperlink"/>
            <w:rFonts w:ascii="IRBadr" w:hAnsi="IRBadr" w:cs="IRBadr" w:hint="eastAsia"/>
            <w:noProof/>
            <w:rtl/>
          </w:rPr>
          <w:t>هرمونوت</w:t>
        </w:r>
        <w:r w:rsidR="009D0F43" w:rsidRPr="00CC15CB">
          <w:rPr>
            <w:rStyle w:val="Hyperlink"/>
            <w:rFonts w:ascii="IRBadr" w:hAnsi="IRBadr" w:cs="IRBadr" w:hint="cs"/>
            <w:noProof/>
            <w:rtl/>
          </w:rPr>
          <w:t>ی</w:t>
        </w:r>
        <w:r w:rsidR="009D0F43" w:rsidRPr="00CC15CB">
          <w:rPr>
            <w:rStyle w:val="Hyperlink"/>
            <w:rFonts w:ascii="IRBadr" w:hAnsi="IRBadr" w:cs="IRBadr" w:hint="eastAsia"/>
            <w:noProof/>
            <w:rtl/>
          </w:rPr>
          <w:t>ک</w:t>
        </w:r>
        <w:r w:rsidR="009D0F43">
          <w:rPr>
            <w:noProof/>
            <w:webHidden/>
          </w:rPr>
          <w:tab/>
        </w:r>
        <w:r w:rsidR="009D0F43">
          <w:rPr>
            <w:rStyle w:val="Hyperlink"/>
            <w:noProof/>
            <w:rtl/>
          </w:rPr>
          <w:fldChar w:fldCharType="begin"/>
        </w:r>
        <w:r w:rsidR="009D0F43">
          <w:rPr>
            <w:noProof/>
            <w:webHidden/>
          </w:rPr>
          <w:instrText xml:space="preserve"> PAGEREF _Toc425844357 \h </w:instrText>
        </w:r>
        <w:r w:rsidR="009D0F43">
          <w:rPr>
            <w:rStyle w:val="Hyperlink"/>
            <w:noProof/>
            <w:rtl/>
          </w:rPr>
        </w:r>
        <w:r w:rsidR="009D0F43">
          <w:rPr>
            <w:rStyle w:val="Hyperlink"/>
            <w:noProof/>
            <w:rtl/>
          </w:rPr>
          <w:fldChar w:fldCharType="separate"/>
        </w:r>
        <w:r w:rsidR="009D0F43">
          <w:rPr>
            <w:noProof/>
            <w:webHidden/>
          </w:rPr>
          <w:t>3</w:t>
        </w:r>
        <w:r w:rsidR="009D0F43">
          <w:rPr>
            <w:rStyle w:val="Hyperlink"/>
            <w:noProof/>
            <w:rtl/>
          </w:rPr>
          <w:fldChar w:fldCharType="end"/>
        </w:r>
      </w:hyperlink>
    </w:p>
    <w:p w:rsidR="009D0F43" w:rsidRDefault="00690779" w:rsidP="009D0F43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5844358" w:history="1">
        <w:r w:rsidR="009D0F43" w:rsidRPr="00CC15CB">
          <w:rPr>
            <w:rStyle w:val="Hyperlink"/>
            <w:rFonts w:ascii="IRBadr" w:hAnsi="IRBadr" w:cs="IRBadr" w:hint="eastAsia"/>
            <w:noProof/>
            <w:rtl/>
          </w:rPr>
          <w:t>انصراف</w:t>
        </w:r>
        <w:r w:rsidR="009D0F43" w:rsidRPr="00CC15CB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9D0F43" w:rsidRPr="00CC15CB">
          <w:rPr>
            <w:rStyle w:val="Hyperlink"/>
            <w:rFonts w:ascii="IRBadr" w:hAnsi="IRBadr" w:cs="IRBadr" w:hint="eastAsia"/>
            <w:noProof/>
            <w:rtl/>
          </w:rPr>
          <w:t>در</w:t>
        </w:r>
        <w:r w:rsidR="009D0F43" w:rsidRPr="00CC15CB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9D0F43" w:rsidRPr="00CC15CB">
          <w:rPr>
            <w:rStyle w:val="Hyperlink"/>
            <w:rFonts w:ascii="IRBadr" w:hAnsi="IRBadr" w:cs="IRBadr" w:hint="eastAsia"/>
            <w:noProof/>
            <w:rtl/>
          </w:rPr>
          <w:t>مفاه</w:t>
        </w:r>
        <w:r w:rsidR="009D0F43" w:rsidRPr="00CC15CB">
          <w:rPr>
            <w:rStyle w:val="Hyperlink"/>
            <w:rFonts w:ascii="IRBadr" w:hAnsi="IRBadr" w:cs="IRBadr" w:hint="cs"/>
            <w:noProof/>
            <w:rtl/>
          </w:rPr>
          <w:t>ی</w:t>
        </w:r>
        <w:r w:rsidR="009D0F43" w:rsidRPr="00CC15CB">
          <w:rPr>
            <w:rStyle w:val="Hyperlink"/>
            <w:rFonts w:ascii="IRBadr" w:hAnsi="IRBadr" w:cs="IRBadr" w:hint="eastAsia"/>
            <w:noProof/>
            <w:rtl/>
          </w:rPr>
          <w:t>م</w:t>
        </w:r>
        <w:r w:rsidR="009D0F43">
          <w:rPr>
            <w:noProof/>
            <w:webHidden/>
          </w:rPr>
          <w:tab/>
        </w:r>
        <w:r w:rsidR="009D0F43">
          <w:rPr>
            <w:rStyle w:val="Hyperlink"/>
            <w:noProof/>
            <w:rtl/>
          </w:rPr>
          <w:fldChar w:fldCharType="begin"/>
        </w:r>
        <w:r w:rsidR="009D0F43">
          <w:rPr>
            <w:noProof/>
            <w:webHidden/>
          </w:rPr>
          <w:instrText xml:space="preserve"> PAGEREF _Toc425844358 \h </w:instrText>
        </w:r>
        <w:r w:rsidR="009D0F43">
          <w:rPr>
            <w:rStyle w:val="Hyperlink"/>
            <w:noProof/>
            <w:rtl/>
          </w:rPr>
        </w:r>
        <w:r w:rsidR="009D0F43">
          <w:rPr>
            <w:rStyle w:val="Hyperlink"/>
            <w:noProof/>
            <w:rtl/>
          </w:rPr>
          <w:fldChar w:fldCharType="separate"/>
        </w:r>
        <w:r w:rsidR="009D0F43">
          <w:rPr>
            <w:noProof/>
            <w:webHidden/>
          </w:rPr>
          <w:t>3</w:t>
        </w:r>
        <w:r w:rsidR="009D0F43">
          <w:rPr>
            <w:rStyle w:val="Hyperlink"/>
            <w:noProof/>
            <w:rtl/>
          </w:rPr>
          <w:fldChar w:fldCharType="end"/>
        </w:r>
      </w:hyperlink>
    </w:p>
    <w:p w:rsidR="009D0F43" w:rsidRDefault="00690779" w:rsidP="009D0F43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5844359" w:history="1">
        <w:r w:rsidR="009D0F43" w:rsidRPr="00CC15CB">
          <w:rPr>
            <w:rStyle w:val="Hyperlink"/>
            <w:rFonts w:ascii="IRBadr" w:hAnsi="IRBadr" w:cs="IRBadr" w:hint="eastAsia"/>
            <w:noProof/>
            <w:rtl/>
          </w:rPr>
          <w:t>حج</w:t>
        </w:r>
        <w:r w:rsidR="009D0F43" w:rsidRPr="00CC15CB">
          <w:rPr>
            <w:rStyle w:val="Hyperlink"/>
            <w:rFonts w:ascii="IRBadr" w:hAnsi="IRBadr" w:cs="IRBadr" w:hint="cs"/>
            <w:noProof/>
            <w:rtl/>
          </w:rPr>
          <w:t>ی</w:t>
        </w:r>
        <w:r w:rsidR="009D0F43" w:rsidRPr="00CC15CB">
          <w:rPr>
            <w:rStyle w:val="Hyperlink"/>
            <w:rFonts w:ascii="IRBadr" w:hAnsi="IRBadr" w:cs="IRBadr" w:hint="eastAsia"/>
            <w:noProof/>
            <w:rtl/>
          </w:rPr>
          <w:t>ت</w:t>
        </w:r>
        <w:r w:rsidR="009D0F43" w:rsidRPr="00CC15CB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9D0F43" w:rsidRPr="00CC15CB">
          <w:rPr>
            <w:rStyle w:val="Hyperlink"/>
            <w:rFonts w:ascii="IRBadr" w:hAnsi="IRBadr" w:cs="IRBadr" w:hint="eastAsia"/>
            <w:noProof/>
            <w:rtl/>
          </w:rPr>
          <w:t>در</w:t>
        </w:r>
        <w:r w:rsidR="009D0F43" w:rsidRPr="00CC15CB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9D0F43" w:rsidRPr="00CC15CB">
          <w:rPr>
            <w:rStyle w:val="Hyperlink"/>
            <w:rFonts w:ascii="IRBadr" w:hAnsi="IRBadr" w:cs="IRBadr" w:hint="eastAsia"/>
            <w:noProof/>
            <w:rtl/>
          </w:rPr>
          <w:t>انصراف</w:t>
        </w:r>
        <w:r w:rsidR="009D0F43">
          <w:rPr>
            <w:noProof/>
            <w:webHidden/>
          </w:rPr>
          <w:tab/>
        </w:r>
        <w:r w:rsidR="009D0F43">
          <w:rPr>
            <w:rStyle w:val="Hyperlink"/>
            <w:noProof/>
            <w:rtl/>
          </w:rPr>
          <w:fldChar w:fldCharType="begin"/>
        </w:r>
        <w:r w:rsidR="009D0F43">
          <w:rPr>
            <w:noProof/>
            <w:webHidden/>
          </w:rPr>
          <w:instrText xml:space="preserve"> PAGEREF _Toc425844359 \h </w:instrText>
        </w:r>
        <w:r w:rsidR="009D0F43">
          <w:rPr>
            <w:rStyle w:val="Hyperlink"/>
            <w:noProof/>
            <w:rtl/>
          </w:rPr>
        </w:r>
        <w:r w:rsidR="009D0F43">
          <w:rPr>
            <w:rStyle w:val="Hyperlink"/>
            <w:noProof/>
            <w:rtl/>
          </w:rPr>
          <w:fldChar w:fldCharType="separate"/>
        </w:r>
        <w:r w:rsidR="009D0F43">
          <w:rPr>
            <w:noProof/>
            <w:webHidden/>
          </w:rPr>
          <w:t>3</w:t>
        </w:r>
        <w:r w:rsidR="009D0F43">
          <w:rPr>
            <w:rStyle w:val="Hyperlink"/>
            <w:noProof/>
            <w:rtl/>
          </w:rPr>
          <w:fldChar w:fldCharType="end"/>
        </w:r>
      </w:hyperlink>
    </w:p>
    <w:p w:rsidR="009D0F43" w:rsidRPr="009D0F43" w:rsidRDefault="009D0F43" w:rsidP="009D0F43">
      <w:pPr>
        <w:bidi/>
        <w:jc w:val="center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4C3D99" w:rsidRDefault="004C3D99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1" w:name="_Toc425844350"/>
      <w:r>
        <w:rPr>
          <w:rFonts w:ascii="IRBadr" w:hAnsi="IRBadr" w:cs="IRBadr"/>
          <w:rtl/>
        </w:rPr>
        <w:br w:type="page"/>
      </w:r>
    </w:p>
    <w:p w:rsidR="00E2554C" w:rsidRPr="009D0F43" w:rsidRDefault="00302A58" w:rsidP="00FB361E">
      <w:pPr>
        <w:pStyle w:val="Heading1"/>
        <w:rPr>
          <w:rFonts w:ascii="IRBadr" w:hAnsi="IRBadr" w:cs="IRBadr"/>
          <w:sz w:val="22"/>
          <w:szCs w:val="22"/>
          <w:rtl/>
          <w:lang w:bidi="ar-SA"/>
        </w:rPr>
      </w:pPr>
      <w:r w:rsidRPr="009D0F43">
        <w:rPr>
          <w:rFonts w:ascii="IRBadr" w:hAnsi="IRBadr" w:cs="IRBadr"/>
          <w:rtl/>
        </w:rPr>
        <w:lastRenderedPageBreak/>
        <w:t>اعضای استثنا شده در حد</w:t>
      </w:r>
      <w:bookmarkEnd w:id="1"/>
    </w:p>
    <w:p w:rsidR="00302A58" w:rsidRPr="009D0F43" w:rsidRDefault="00302A58" w:rsidP="00FB361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در حد برخی از اعضای بدن مورد استثنا </w:t>
      </w:r>
      <w:r w:rsidR="007C25D4">
        <w:rPr>
          <w:rFonts w:ascii="IRBadr" w:hAnsi="IRBadr" w:cs="IRBadr"/>
          <w:sz w:val="28"/>
          <w:szCs w:val="28"/>
          <w:rtl/>
          <w:lang w:bidi="fa-IR"/>
        </w:rPr>
        <w:t>قرارگرفته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C25D4">
        <w:rPr>
          <w:rFonts w:ascii="IRBadr" w:hAnsi="IRBadr" w:cs="IRBadr"/>
          <w:color w:val="FF0000"/>
          <w:sz w:val="28"/>
          <w:szCs w:val="28"/>
          <w:rtl/>
          <w:lang w:bidi="fa-IR"/>
        </w:rPr>
        <w:t>به‌عنوان‌مثال</w:t>
      </w:r>
      <w:r w:rsidRPr="004008C7">
        <w:rPr>
          <w:rFonts w:ascii="IRBadr" w:hAnsi="IRBadr" w:cs="IRBadr"/>
          <w:color w:val="FF0000"/>
          <w:sz w:val="28"/>
          <w:szCs w:val="28"/>
          <w:rtl/>
          <w:lang w:bidi="fa-IR"/>
        </w:rPr>
        <w:t xml:space="preserve"> </w:t>
      </w:r>
      <w:r w:rsidR="007C25D4">
        <w:rPr>
          <w:rFonts w:ascii="IRBadr" w:hAnsi="IRBadr" w:cs="IRBadr"/>
          <w:color w:val="FF0000"/>
          <w:sz w:val="28"/>
          <w:szCs w:val="28"/>
          <w:rtl/>
          <w:lang w:bidi="fa-IR"/>
        </w:rPr>
        <w:t>همان‌طور</w:t>
      </w:r>
      <w:r w:rsidRPr="004008C7">
        <w:rPr>
          <w:rFonts w:ascii="IRBadr" w:hAnsi="IRBadr" w:cs="IRBadr"/>
          <w:color w:val="FF0000"/>
          <w:sz w:val="28"/>
          <w:szCs w:val="28"/>
          <w:rtl/>
          <w:lang w:bidi="fa-IR"/>
        </w:rPr>
        <w:t xml:space="preserve"> 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>که در روایات آمده از زدن سنگ به سر فرد مجرم باید جدا پرهیز کرد،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برخی از موارد صورت،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C25D4">
        <w:rPr>
          <w:rFonts w:ascii="IRBadr" w:hAnsi="IRBadr" w:cs="IRBadr"/>
          <w:color w:val="FF0000"/>
          <w:sz w:val="28"/>
          <w:szCs w:val="28"/>
          <w:rtl/>
          <w:lang w:bidi="fa-IR"/>
        </w:rPr>
        <w:t>به‌عنوان</w:t>
      </w:r>
      <w:r w:rsidRPr="004008C7">
        <w:rPr>
          <w:rFonts w:ascii="IRBadr" w:hAnsi="IRBadr" w:cs="IRBadr"/>
          <w:color w:val="FF0000"/>
          <w:sz w:val="28"/>
          <w:szCs w:val="28"/>
          <w:rtl/>
          <w:lang w:bidi="fa-IR"/>
        </w:rPr>
        <w:t xml:space="preserve"> 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یکی از مستثنیات </w:t>
      </w:r>
      <w:r w:rsidR="007C25D4">
        <w:rPr>
          <w:rFonts w:ascii="IRBadr" w:hAnsi="IRBadr" w:cs="IRBadr"/>
          <w:sz w:val="28"/>
          <w:szCs w:val="28"/>
          <w:rtl/>
          <w:lang w:bidi="fa-IR"/>
        </w:rPr>
        <w:t>معرف</w:t>
      </w:r>
      <w:r w:rsidR="007C25D4">
        <w:rPr>
          <w:rFonts w:ascii="IRBadr" w:hAnsi="IRBadr" w:cs="IRBadr" w:hint="cs"/>
          <w:sz w:val="28"/>
          <w:szCs w:val="28"/>
          <w:rtl/>
          <w:lang w:bidi="fa-IR"/>
        </w:rPr>
        <w:t>ی‌شده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است و در مواردی دیگر نیز عورت مورد استثنا </w:t>
      </w:r>
      <w:r w:rsidR="007C25D4">
        <w:rPr>
          <w:rFonts w:ascii="IRBadr" w:hAnsi="IRBadr" w:cs="IRBadr"/>
          <w:sz w:val="28"/>
          <w:szCs w:val="28"/>
          <w:rtl/>
          <w:lang w:bidi="fa-IR"/>
        </w:rPr>
        <w:t>قرارگرفته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باید </w:t>
      </w:r>
      <w:r w:rsidR="007C25D4">
        <w:rPr>
          <w:rFonts w:ascii="IRBadr" w:hAnsi="IRBadr" w:cs="IRBadr" w:hint="cs"/>
          <w:sz w:val="28"/>
          <w:szCs w:val="28"/>
          <w:rtl/>
          <w:lang w:bidi="fa-IR"/>
        </w:rPr>
        <w:t>یادآور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شد که تعابیر در این زمینه متفاوت است.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اختلاف در فتاوای عامه نیز وجود دارد.</w:t>
      </w:r>
    </w:p>
    <w:p w:rsidR="00E2554C" w:rsidRPr="009D0F43" w:rsidRDefault="007C25D4" w:rsidP="00FB361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بنابرا</w:t>
      </w:r>
      <w:r>
        <w:rPr>
          <w:rFonts w:ascii="IRBadr" w:hAnsi="IRBadr" w:cs="IRBadr" w:hint="cs"/>
          <w:sz w:val="28"/>
          <w:szCs w:val="28"/>
          <w:rtl/>
          <w:lang w:bidi="fa-IR"/>
        </w:rPr>
        <w:t>ین</w:t>
      </w:r>
      <w:r w:rsidR="00302A58" w:rsidRPr="009D0F43">
        <w:rPr>
          <w:rFonts w:ascii="IRBadr" w:hAnsi="IRBadr" w:cs="IRBadr"/>
          <w:sz w:val="28"/>
          <w:szCs w:val="28"/>
          <w:rtl/>
          <w:lang w:bidi="fa-IR"/>
        </w:rPr>
        <w:t xml:space="preserve"> اصل استثنا خوردن اعضا مورد اتفاق در عامه و خاصه است.</w:t>
      </w:r>
    </w:p>
    <w:p w:rsidR="00302A58" w:rsidRPr="009D0F43" w:rsidRDefault="00717A84" w:rsidP="00FB361E">
      <w:pPr>
        <w:pStyle w:val="Heading2"/>
        <w:rPr>
          <w:rFonts w:ascii="IRBadr" w:hAnsi="IRBadr" w:cs="IRBadr"/>
          <w:rtl/>
        </w:rPr>
      </w:pPr>
      <w:bookmarkStart w:id="2" w:name="_Toc425844351"/>
      <w:r w:rsidRPr="009D0F43">
        <w:rPr>
          <w:rFonts w:ascii="IRBadr" w:hAnsi="IRBadr" w:cs="IRBadr"/>
          <w:rtl/>
        </w:rPr>
        <w:t>جلد عرفی</w:t>
      </w:r>
      <w:bookmarkEnd w:id="2"/>
    </w:p>
    <w:p w:rsidR="00717A84" w:rsidRPr="009D0F43" w:rsidRDefault="00717A84" w:rsidP="00FB361E">
      <w:pPr>
        <w:pStyle w:val="NormalWeb"/>
        <w:bidi/>
        <w:jc w:val="both"/>
        <w:rPr>
          <w:rFonts w:ascii="IRBadr" w:hAnsi="IRBadr" w:cs="IRBadr"/>
          <w:color w:val="000000"/>
          <w:sz w:val="2"/>
          <w:szCs w:val="2"/>
          <w:rtl/>
        </w:rPr>
      </w:pPr>
      <w:r w:rsidRPr="009D0F43">
        <w:rPr>
          <w:rFonts w:ascii="IRBadr" w:hAnsi="IRBadr" w:cs="IRBadr"/>
          <w:color w:val="000000" w:themeColor="text1"/>
          <w:sz w:val="28"/>
          <w:szCs w:val="28"/>
          <w:rtl/>
        </w:rPr>
        <w:t xml:space="preserve">برخی از آیه </w:t>
      </w:r>
      <w:r w:rsidR="00FB361E" w:rsidRPr="009D0F43">
        <w:rPr>
          <w:rFonts w:ascii="IRBadr" w:hAnsi="IRBadr" w:cs="IRBadr"/>
          <w:color w:val="000000" w:themeColor="text1"/>
          <w:sz w:val="28"/>
          <w:szCs w:val="28"/>
          <w:rtl/>
        </w:rPr>
        <w:t>جلد «</w:t>
      </w:r>
      <w:r w:rsidR="00C77D66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الزّانِ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C77D66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ةُ وَ الزّانِ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C77D66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فَاجْلِدُوا 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="00C77D66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لَّ واحِدٍ مِنْهُما مِائَةَ جَلْدَةٍ وَ لا تَأْخُذْ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="00C77D66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مْ بِهِما رَأْفَةٌ فِ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C77D66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دِ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C77D66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نِ اللّهِ إِنْ 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="00C77D66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نْتُمْ تُؤْمِنُونَ بِاللّهِ وَ الْ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C77D66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وْمِ الْآخِرِ وَ لْ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C77D66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شْهَدْ عَذابَهُما طائِفَةٌ مِنَ الْمُؤْمِنِ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C77D66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نَ»</w:t>
      </w:r>
      <w:r w:rsidR="00C77D66" w:rsidRPr="009D0F43">
        <w:rPr>
          <w:rStyle w:val="FootnoteReference"/>
          <w:rFonts w:ascii="IRBadr" w:hAnsi="IRBadr" w:cs="IRBadr"/>
          <w:b/>
          <w:bCs/>
          <w:color w:val="000000" w:themeColor="text1"/>
          <w:sz w:val="36"/>
          <w:szCs w:val="36"/>
          <w:rtl/>
        </w:rPr>
        <w:footnoteReference w:id="1"/>
      </w:r>
      <w:r w:rsidR="00C77D66" w:rsidRPr="009D0F43">
        <w:rPr>
          <w:rFonts w:ascii="IRBadr" w:hAnsi="IRBadr" w:cs="IRBadr"/>
          <w:color w:val="000000" w:themeColor="text1"/>
          <w:sz w:val="36"/>
          <w:szCs w:val="36"/>
          <w:rtl/>
        </w:rPr>
        <w:t xml:space="preserve"> </w:t>
      </w:r>
      <w:r w:rsidRPr="009D0F43">
        <w:rPr>
          <w:rFonts w:ascii="IRBadr" w:hAnsi="IRBadr" w:cs="IRBadr"/>
          <w:sz w:val="28"/>
          <w:szCs w:val="28"/>
          <w:rtl/>
        </w:rPr>
        <w:t xml:space="preserve">چنین استفاده </w:t>
      </w:r>
      <w:r w:rsidR="00FB361E" w:rsidRPr="009D0F43">
        <w:rPr>
          <w:rFonts w:ascii="IRBadr" w:hAnsi="IRBadr" w:cs="IRBadr"/>
          <w:sz w:val="28"/>
          <w:szCs w:val="28"/>
          <w:rtl/>
        </w:rPr>
        <w:t>کرده‌اند</w:t>
      </w:r>
      <w:r w:rsidRPr="009D0F43">
        <w:rPr>
          <w:rFonts w:ascii="IRBadr" w:hAnsi="IRBadr" w:cs="IRBadr"/>
          <w:sz w:val="28"/>
          <w:szCs w:val="28"/>
          <w:rtl/>
        </w:rPr>
        <w:t xml:space="preserve"> که مراد از جلد معنای عرفی آن است.</w:t>
      </w:r>
    </w:p>
    <w:p w:rsidR="00C77D66" w:rsidRPr="009D0F43" w:rsidRDefault="00717A84" w:rsidP="00FB361E">
      <w:pPr>
        <w:pStyle w:val="Heading2"/>
        <w:rPr>
          <w:rFonts w:ascii="IRBadr" w:eastAsia="Times New Roman" w:hAnsi="IRBadr" w:cs="IRBadr"/>
          <w:color w:val="000000"/>
          <w:sz w:val="2"/>
          <w:szCs w:val="2"/>
        </w:rPr>
      </w:pPr>
      <w:bookmarkStart w:id="3" w:name="_Toc425844352"/>
      <w:r w:rsidRPr="009D0F43">
        <w:rPr>
          <w:rFonts w:ascii="IRBadr" w:hAnsi="IRBadr" w:cs="IRBadr"/>
          <w:rtl/>
        </w:rPr>
        <w:t>تشریح معنای عرفی جلد</w:t>
      </w:r>
      <w:bookmarkEnd w:id="3"/>
    </w:p>
    <w:p w:rsidR="00C77D66" w:rsidRPr="009D0F43" w:rsidRDefault="00C77D66" w:rsidP="00FB361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717A84" w:rsidRPr="009D0F43" w:rsidRDefault="00717A84" w:rsidP="00FB361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از جهتی ممکن است که ادعا شود در جلد عرفی اعضایی غیر از </w:t>
      </w:r>
      <w:r w:rsidR="007C25D4">
        <w:rPr>
          <w:rFonts w:ascii="IRBadr" w:hAnsi="IRBadr" w:cs="IRBadr"/>
          <w:color w:val="FF0000"/>
          <w:sz w:val="28"/>
          <w:szCs w:val="28"/>
          <w:rtl/>
          <w:lang w:bidi="fa-IR"/>
        </w:rPr>
        <w:t>سروصورت</w:t>
      </w:r>
      <w:r w:rsidRPr="004008C7">
        <w:rPr>
          <w:rFonts w:ascii="IRBadr" w:hAnsi="IRBadr" w:cs="IRBadr"/>
          <w:color w:val="FF0000"/>
          <w:sz w:val="28"/>
          <w:szCs w:val="28"/>
          <w:rtl/>
          <w:lang w:bidi="fa-IR"/>
        </w:rPr>
        <w:t xml:space="preserve"> 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و جلوی بدن </w:t>
      </w:r>
      <w:r w:rsidR="007C25D4">
        <w:rPr>
          <w:rFonts w:ascii="IRBadr" w:hAnsi="IRBadr" w:cs="IRBadr"/>
          <w:sz w:val="28"/>
          <w:szCs w:val="28"/>
          <w:rtl/>
          <w:lang w:bidi="fa-IR"/>
        </w:rPr>
        <w:t>به‌صورت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مستقل مورد استثنا قرار 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>.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C25D4">
        <w:rPr>
          <w:rFonts w:ascii="IRBadr" w:hAnsi="IRBadr" w:cs="IRBadr"/>
          <w:sz w:val="28"/>
          <w:szCs w:val="28"/>
          <w:rtl/>
          <w:lang w:bidi="fa-IR"/>
        </w:rPr>
        <w:t>ا</w:t>
      </w:r>
      <w:r w:rsidR="007C25D4">
        <w:rPr>
          <w:rFonts w:ascii="IRBadr" w:hAnsi="IRBadr" w:cs="IRBadr" w:hint="cs"/>
          <w:sz w:val="28"/>
          <w:szCs w:val="28"/>
          <w:rtl/>
          <w:lang w:bidi="fa-IR"/>
        </w:rPr>
        <w:t>ین‌یک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نظریه است که در کلمات علما بدین شکل مطرح نشده است و با </w:t>
      </w:r>
      <w:r w:rsidR="007C25D4">
        <w:rPr>
          <w:rFonts w:ascii="IRBadr" w:hAnsi="IRBadr" w:cs="IRBadr"/>
          <w:color w:val="FF0000"/>
          <w:sz w:val="28"/>
          <w:szCs w:val="28"/>
          <w:rtl/>
          <w:lang w:bidi="fa-IR"/>
        </w:rPr>
        <w:t>قطع‌نظر</w:t>
      </w:r>
      <w:r w:rsidRPr="004008C7">
        <w:rPr>
          <w:rFonts w:ascii="IRBadr" w:hAnsi="IRBadr" w:cs="IRBadr"/>
          <w:color w:val="FF0000"/>
          <w:sz w:val="28"/>
          <w:szCs w:val="28"/>
          <w:rtl/>
          <w:lang w:bidi="fa-IR"/>
        </w:rPr>
        <w:t xml:space="preserve"> 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از روایات جلد </w:t>
      </w:r>
      <w:r w:rsidR="007C25D4">
        <w:rPr>
          <w:rFonts w:ascii="IRBadr" w:hAnsi="IRBadr" w:cs="IRBadr"/>
          <w:sz w:val="28"/>
          <w:szCs w:val="28"/>
          <w:rtl/>
          <w:lang w:bidi="fa-IR"/>
        </w:rPr>
        <w:t>ب</w:t>
      </w:r>
      <w:r w:rsidR="007C25D4">
        <w:rPr>
          <w:rFonts w:ascii="IRBadr" w:hAnsi="IRBadr" w:cs="IRBadr" w:hint="cs"/>
          <w:sz w:val="28"/>
          <w:szCs w:val="28"/>
          <w:rtl/>
          <w:lang w:bidi="fa-IR"/>
        </w:rPr>
        <w:t>یان‌شده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717A84" w:rsidRPr="009D0F43" w:rsidRDefault="00717A84" w:rsidP="00FB361E">
      <w:pPr>
        <w:pStyle w:val="Heading2"/>
        <w:rPr>
          <w:rFonts w:ascii="IRBadr" w:hAnsi="IRBadr" w:cs="IRBadr"/>
          <w:rtl/>
        </w:rPr>
      </w:pPr>
      <w:bookmarkStart w:id="4" w:name="_Toc425844353"/>
      <w:r w:rsidRPr="009D0F43">
        <w:rPr>
          <w:rFonts w:ascii="IRBadr" w:hAnsi="IRBadr" w:cs="IRBadr"/>
          <w:rtl/>
        </w:rPr>
        <w:t>نظریه دوم</w:t>
      </w:r>
      <w:bookmarkEnd w:id="4"/>
    </w:p>
    <w:p w:rsidR="00717A84" w:rsidRPr="009D0F43" w:rsidRDefault="00717A84" w:rsidP="00FB361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D0F43">
        <w:rPr>
          <w:rFonts w:ascii="IRBadr" w:hAnsi="IRBadr" w:cs="IRBadr"/>
          <w:sz w:val="28"/>
          <w:szCs w:val="28"/>
          <w:rtl/>
          <w:lang w:bidi="fa-IR"/>
        </w:rPr>
        <w:t>در مقابل ممکن است کسی ادعا کند که جلد در آیه اطلاق دارد و منظور شکل عرفی آن نیست.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بلکه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معنای 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>لغویان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در اینجا ملحوظ است یعنی بر قسمت از بدن او زده شود،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صدق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جلد 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و صحیح است.</w:t>
      </w:r>
    </w:p>
    <w:p w:rsidR="00717A84" w:rsidRPr="009D0F43" w:rsidRDefault="00717A84" w:rsidP="00FB361E">
      <w:pPr>
        <w:pStyle w:val="Heading2"/>
        <w:rPr>
          <w:rFonts w:ascii="IRBadr" w:hAnsi="IRBadr" w:cs="IRBadr"/>
          <w:rtl/>
        </w:rPr>
      </w:pPr>
      <w:bookmarkStart w:id="5" w:name="_Toc425844354"/>
      <w:r w:rsidRPr="009D0F43">
        <w:rPr>
          <w:rFonts w:ascii="IRBadr" w:hAnsi="IRBadr" w:cs="IRBadr"/>
          <w:rtl/>
        </w:rPr>
        <w:t>اتخاذ مبنا</w:t>
      </w:r>
      <w:bookmarkEnd w:id="5"/>
    </w:p>
    <w:p w:rsidR="00717A84" w:rsidRPr="009D0F43" w:rsidRDefault="00717A84" w:rsidP="00FB361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البته این اشکال چندان وارد نیست و به نظر 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>می‌رسد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مراد حمل بر معنای عرفی باشد.</w:t>
      </w:r>
    </w:p>
    <w:p w:rsidR="00717A84" w:rsidRPr="009D0F43" w:rsidRDefault="00717A84" w:rsidP="00FB361E">
      <w:pPr>
        <w:pStyle w:val="Heading2"/>
        <w:rPr>
          <w:rFonts w:ascii="IRBadr" w:hAnsi="IRBadr" w:cs="IRBadr"/>
          <w:rtl/>
        </w:rPr>
      </w:pPr>
      <w:bookmarkStart w:id="6" w:name="_Toc425844355"/>
      <w:r w:rsidRPr="009D0F43">
        <w:rPr>
          <w:rFonts w:ascii="IRBadr" w:hAnsi="IRBadr" w:cs="IRBadr"/>
          <w:rtl/>
        </w:rPr>
        <w:lastRenderedPageBreak/>
        <w:t>اشکال دوم</w:t>
      </w:r>
      <w:bookmarkEnd w:id="6"/>
    </w:p>
    <w:p w:rsidR="00717A84" w:rsidRPr="009D0F43" w:rsidRDefault="00717A84" w:rsidP="00FB361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در مرحله دوم ممکن است کسی </w:t>
      </w:r>
      <w:r w:rsidR="007C25D4">
        <w:rPr>
          <w:rFonts w:ascii="IRBadr" w:hAnsi="IRBadr" w:cs="IRBadr"/>
          <w:sz w:val="28"/>
          <w:szCs w:val="28"/>
          <w:rtl/>
          <w:lang w:bidi="fa-IR"/>
        </w:rPr>
        <w:t>ا</w:t>
      </w:r>
      <w:r w:rsidR="007C25D4">
        <w:rPr>
          <w:rFonts w:ascii="IRBadr" w:hAnsi="IRBadr" w:cs="IRBadr" w:hint="cs"/>
          <w:sz w:val="28"/>
          <w:szCs w:val="28"/>
          <w:rtl/>
          <w:lang w:bidi="fa-IR"/>
        </w:rPr>
        <w:t>ین‌گونه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اشکال کند برای صدق معنای عرفی باید به عرف هر زمان و مقتضیات آن نگاه کرد،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در عرف آن زمان در زمان جلد و تنبیه شاید بر سر فرد نیز ضربه 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>می‌زدند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296034" w:rsidRPr="009D0F43" w:rsidRDefault="007C25D4" w:rsidP="00FB361E">
      <w:pPr>
        <w:pStyle w:val="Heading2"/>
        <w:rPr>
          <w:rFonts w:ascii="IRBadr" w:hAnsi="IRBadr" w:cs="IRBadr"/>
          <w:rtl/>
        </w:rPr>
      </w:pPr>
      <w:r>
        <w:rPr>
          <w:rFonts w:ascii="IRBadr" w:hAnsi="IRBadr" w:cs="IRBadr"/>
          <w:rtl/>
        </w:rPr>
        <w:t>جمع‌بند</w:t>
      </w:r>
      <w:r>
        <w:rPr>
          <w:rFonts w:ascii="IRBadr" w:hAnsi="IRBadr" w:cs="IRBadr" w:hint="cs"/>
          <w:rtl/>
        </w:rPr>
        <w:t>ی</w:t>
      </w:r>
    </w:p>
    <w:p w:rsidR="00296034" w:rsidRPr="009D0F43" w:rsidRDefault="007C25D4" w:rsidP="00FB361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بنابرا</w:t>
      </w:r>
      <w:r>
        <w:rPr>
          <w:rFonts w:ascii="IRBadr" w:hAnsi="IRBadr" w:cs="IRBadr" w:hint="cs"/>
          <w:sz w:val="28"/>
          <w:szCs w:val="28"/>
          <w:rtl/>
          <w:lang w:bidi="fa-IR"/>
        </w:rPr>
        <w:t>ین</w:t>
      </w:r>
      <w:r w:rsidR="00296034" w:rsidRPr="009D0F43">
        <w:rPr>
          <w:rFonts w:ascii="IRBadr" w:hAnsi="IRBadr" w:cs="IRBadr"/>
          <w:sz w:val="28"/>
          <w:szCs w:val="28"/>
          <w:rtl/>
          <w:lang w:bidi="fa-IR"/>
        </w:rPr>
        <w:t xml:space="preserve"> در اینجا دو نظریه وجود داشت،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برخی</w:t>
      </w:r>
      <w:r w:rsidR="00296034" w:rsidRPr="009D0F43">
        <w:rPr>
          <w:rFonts w:ascii="IRBadr" w:hAnsi="IRBadr" w:cs="IRBadr"/>
          <w:sz w:val="28"/>
          <w:szCs w:val="28"/>
          <w:rtl/>
          <w:lang w:bidi="fa-IR"/>
        </w:rPr>
        <w:t xml:space="preserve"> معتقد بودند که باید حمل بر معنای عرفی شود یا اینکه در عرفی این استثناء وجود ندارد و برخی دیگر مبنایشان این بود که از 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>آل</w:t>
      </w:r>
      <w:r w:rsidR="00296034" w:rsidRPr="009D0F43">
        <w:rPr>
          <w:rFonts w:ascii="IRBadr" w:hAnsi="IRBadr" w:cs="IRBadr"/>
          <w:sz w:val="28"/>
          <w:szCs w:val="28"/>
          <w:rtl/>
          <w:lang w:bidi="fa-IR"/>
        </w:rPr>
        <w:t xml:space="preserve"> حمل بر معنای عرفی 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296034" w:rsidRPr="009D0F43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>
        <w:rPr>
          <w:rFonts w:ascii="IRBadr" w:hAnsi="IRBadr" w:cs="IRBadr"/>
          <w:sz w:val="28"/>
          <w:szCs w:val="28"/>
          <w:rtl/>
          <w:lang w:bidi="fa-IR"/>
        </w:rPr>
        <w:t>درا</w:t>
      </w:r>
      <w:r>
        <w:rPr>
          <w:rFonts w:ascii="IRBadr" w:hAnsi="IRBadr" w:cs="IRBadr" w:hint="cs"/>
          <w:sz w:val="28"/>
          <w:szCs w:val="28"/>
          <w:rtl/>
          <w:lang w:bidi="fa-IR"/>
        </w:rPr>
        <w:t>ین‌بین</w:t>
      </w:r>
      <w:r w:rsidR="00296034" w:rsidRPr="009D0F43">
        <w:rPr>
          <w:rFonts w:ascii="IRBadr" w:hAnsi="IRBadr" w:cs="IRBadr"/>
          <w:sz w:val="28"/>
          <w:szCs w:val="28"/>
          <w:rtl/>
          <w:lang w:bidi="fa-IR"/>
        </w:rPr>
        <w:t xml:space="preserve"> بسیار اهمیت دارد که معنای عرفی جلد در آن زمان مشخص شود.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اصل</w:t>
      </w:r>
      <w:r w:rsidR="00296034" w:rsidRPr="009D0F43">
        <w:rPr>
          <w:rFonts w:ascii="IRBadr" w:hAnsi="IRBadr" w:cs="IRBadr"/>
          <w:sz w:val="28"/>
          <w:szCs w:val="28"/>
          <w:rtl/>
          <w:lang w:bidi="fa-IR"/>
        </w:rPr>
        <w:t xml:space="preserve"> جلد کردن در میان عرب متداول بوده است. جای مطالعه </w:t>
      </w:r>
      <w:r>
        <w:rPr>
          <w:rFonts w:ascii="IRBadr" w:hAnsi="IRBadr" w:cs="IRBadr"/>
          <w:sz w:val="28"/>
          <w:szCs w:val="28"/>
          <w:rtl/>
          <w:lang w:bidi="fa-IR"/>
        </w:rPr>
        <w:t>و</w:t>
      </w:r>
      <w:r>
        <w:rPr>
          <w:rFonts w:ascii="IRBadr" w:hAnsi="IRBadr" w:cs="IRBadr" w:hint="cs"/>
          <w:sz w:val="28"/>
          <w:szCs w:val="28"/>
          <w:rtl/>
          <w:lang w:bidi="fa-IR"/>
        </w:rPr>
        <w:t>یژه‌ای</w:t>
      </w:r>
      <w:r w:rsidR="00296034" w:rsidRPr="009D0F43">
        <w:rPr>
          <w:rFonts w:ascii="IRBadr" w:hAnsi="IRBadr" w:cs="IRBadr"/>
          <w:sz w:val="28"/>
          <w:szCs w:val="28"/>
          <w:rtl/>
          <w:lang w:bidi="fa-IR"/>
        </w:rPr>
        <w:t xml:space="preserve"> در این زمینه وجود دارد و در تاریخ جایی مشاهده نکردم که به این قضیه اشاره چندانی شده باشد.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="00296034" w:rsidRPr="009D0F43">
        <w:rPr>
          <w:rFonts w:ascii="IRBadr" w:hAnsi="IRBadr" w:cs="IRBadr"/>
          <w:sz w:val="28"/>
          <w:szCs w:val="28"/>
          <w:rtl/>
          <w:lang w:bidi="fa-IR"/>
        </w:rPr>
        <w:t xml:space="preserve"> طرفی نیز اگر بخواهیم طبق قواعد پیش برویم نیاز است که اطلاق عرفی جلد در آن زمان مشخص شود.</w:t>
      </w:r>
    </w:p>
    <w:p w:rsidR="00296034" w:rsidRPr="009D0F43" w:rsidRDefault="00296034" w:rsidP="00FB361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چراکه ممکن است اطلاق عرفی آن چندان با </w:t>
      </w:r>
      <w:r w:rsidR="007C25D4">
        <w:rPr>
          <w:rFonts w:ascii="IRBadr" w:hAnsi="IRBadr" w:cs="IRBadr"/>
          <w:sz w:val="28"/>
          <w:szCs w:val="28"/>
          <w:rtl/>
          <w:lang w:bidi="fa-IR"/>
        </w:rPr>
        <w:t>آنچه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در روایات </w:t>
      </w:r>
      <w:r w:rsidR="007C25D4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است همخوانی نداشته باشد،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اگر جلد عرفی همه مواضع را در </w:t>
      </w:r>
      <w:r w:rsidR="007C25D4">
        <w:rPr>
          <w:rFonts w:ascii="IRBadr" w:hAnsi="IRBadr" w:cs="IRBadr"/>
          <w:sz w:val="28"/>
          <w:szCs w:val="28"/>
          <w:rtl/>
          <w:lang w:bidi="fa-IR"/>
        </w:rPr>
        <w:t>برم</w:t>
      </w:r>
      <w:r w:rsidR="007C25D4">
        <w:rPr>
          <w:rFonts w:ascii="IRBadr" w:hAnsi="IRBadr" w:cs="IRBadr" w:hint="cs"/>
          <w:sz w:val="28"/>
          <w:szCs w:val="28"/>
          <w:rtl/>
          <w:lang w:bidi="fa-IR"/>
        </w:rPr>
        <w:t>ی‌گرفته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است باید به همان استثنائات موجود در روایات اکتفا کنیم. البته در این میان ممکن است جلد عرفی معنای ضیق تری نسبت جلد شرعی داشته باشد.</w:t>
      </w:r>
    </w:p>
    <w:p w:rsidR="00747D56" w:rsidRPr="009D0F43" w:rsidRDefault="00747D56" w:rsidP="00FB361E">
      <w:pPr>
        <w:pStyle w:val="Heading3"/>
        <w:rPr>
          <w:rFonts w:ascii="IRBadr" w:hAnsi="IRBadr" w:cs="IRBadr"/>
          <w:rtl/>
        </w:rPr>
      </w:pPr>
      <w:bookmarkStart w:id="7" w:name="_Toc425844357"/>
      <w:r w:rsidRPr="009D0F43">
        <w:rPr>
          <w:rFonts w:ascii="IRBadr" w:hAnsi="IRBadr" w:cs="IRBadr"/>
          <w:rtl/>
        </w:rPr>
        <w:t xml:space="preserve">اهمیت </w:t>
      </w:r>
      <w:bookmarkEnd w:id="7"/>
      <w:r w:rsidR="007C25D4">
        <w:rPr>
          <w:rFonts w:ascii="IRBadr" w:hAnsi="IRBadr" w:cs="IRBadr"/>
          <w:rtl/>
        </w:rPr>
        <w:t>هرمنوت</w:t>
      </w:r>
      <w:r w:rsidR="007C25D4">
        <w:rPr>
          <w:rFonts w:ascii="IRBadr" w:hAnsi="IRBadr" w:cs="IRBadr" w:hint="cs"/>
          <w:rtl/>
        </w:rPr>
        <w:t>ی</w:t>
      </w:r>
      <w:r w:rsidR="007C25D4">
        <w:rPr>
          <w:rFonts w:ascii="IRBadr" w:hAnsi="IRBadr" w:cs="IRBadr" w:hint="eastAsia"/>
          <w:rtl/>
        </w:rPr>
        <w:t>ک</w:t>
      </w:r>
    </w:p>
    <w:p w:rsidR="00296034" w:rsidRPr="009D0F43" w:rsidRDefault="00296034" w:rsidP="00FB361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از اینجاست که اهمیت 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>بحث‌های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C25D4">
        <w:rPr>
          <w:rFonts w:ascii="IRBadr" w:hAnsi="IRBadr" w:cs="IRBadr"/>
          <w:sz w:val="28"/>
          <w:szCs w:val="28"/>
          <w:rtl/>
          <w:lang w:bidi="fa-IR"/>
        </w:rPr>
        <w:t>هرمنوت</w:t>
      </w:r>
      <w:r w:rsidR="007C25D4">
        <w:rPr>
          <w:rFonts w:ascii="IRBadr" w:hAnsi="IRBadr" w:cs="IRBadr" w:hint="cs"/>
          <w:sz w:val="28"/>
          <w:szCs w:val="28"/>
          <w:rtl/>
          <w:lang w:bidi="fa-IR"/>
        </w:rPr>
        <w:t>یک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و لزوم قرار گرفتنش در اصول مشخص 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>،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="00747D56" w:rsidRPr="009D0F43">
        <w:rPr>
          <w:rFonts w:ascii="IRBadr" w:hAnsi="IRBadr" w:cs="IRBadr"/>
          <w:sz w:val="28"/>
          <w:szCs w:val="28"/>
          <w:rtl/>
          <w:lang w:bidi="fa-IR"/>
        </w:rPr>
        <w:t xml:space="preserve"> ممکن است </w:t>
      </w:r>
      <w:r w:rsidR="007C25D4">
        <w:rPr>
          <w:rFonts w:ascii="IRBadr" w:hAnsi="IRBadr" w:cs="IRBadr"/>
          <w:sz w:val="28"/>
          <w:szCs w:val="28"/>
          <w:rtl/>
          <w:lang w:bidi="fa-IR"/>
        </w:rPr>
        <w:t>الآن</w:t>
      </w:r>
      <w:r w:rsidR="00747D56" w:rsidRPr="009D0F43">
        <w:rPr>
          <w:rFonts w:ascii="IRBadr" w:hAnsi="IRBadr" w:cs="IRBadr"/>
          <w:sz w:val="28"/>
          <w:szCs w:val="28"/>
          <w:rtl/>
          <w:lang w:bidi="fa-IR"/>
        </w:rPr>
        <w:t xml:space="preserve"> لغتی استعمال شود و در 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>دوره‌های</w:t>
      </w:r>
      <w:r w:rsidR="00747D56" w:rsidRPr="009D0F43">
        <w:rPr>
          <w:rFonts w:ascii="IRBadr" w:hAnsi="IRBadr" w:cs="IRBadr"/>
          <w:sz w:val="28"/>
          <w:szCs w:val="28"/>
          <w:rtl/>
          <w:lang w:bidi="fa-IR"/>
        </w:rPr>
        <w:t xml:space="preserve"> بعدی معانی متفاوتی به خود بگیرد،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مثلاً</w:t>
      </w:r>
      <w:r w:rsidR="00747D56" w:rsidRPr="009D0F43">
        <w:rPr>
          <w:rFonts w:ascii="IRBadr" w:hAnsi="IRBadr" w:cs="IRBadr"/>
          <w:sz w:val="28"/>
          <w:szCs w:val="28"/>
          <w:rtl/>
          <w:lang w:bidi="fa-IR"/>
        </w:rPr>
        <w:t xml:space="preserve"> ممکن است شعر حافظ در دوره خود برخی از الفاظ به معنایی خاص اطلاق 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>می‌شده</w:t>
      </w:r>
      <w:r w:rsidR="00747D56" w:rsidRPr="009D0F43">
        <w:rPr>
          <w:rFonts w:ascii="IRBadr" w:hAnsi="IRBadr" w:cs="IRBadr"/>
          <w:sz w:val="28"/>
          <w:szCs w:val="28"/>
          <w:rtl/>
          <w:lang w:bidi="fa-IR"/>
        </w:rPr>
        <w:t xml:space="preserve"> و در زمان فعلی معنای متفاوتی به خود بگیرد.</w:t>
      </w:r>
    </w:p>
    <w:p w:rsidR="00296034" w:rsidRPr="009D0F43" w:rsidRDefault="00D60F37" w:rsidP="00FB361E">
      <w:pPr>
        <w:pStyle w:val="Heading3"/>
        <w:rPr>
          <w:rFonts w:ascii="IRBadr" w:hAnsi="IRBadr" w:cs="IRBadr"/>
          <w:rtl/>
        </w:rPr>
      </w:pPr>
      <w:bookmarkStart w:id="8" w:name="_Toc425844358"/>
      <w:r w:rsidRPr="009D0F43">
        <w:rPr>
          <w:rFonts w:ascii="IRBadr" w:hAnsi="IRBadr" w:cs="IRBadr"/>
          <w:rtl/>
        </w:rPr>
        <w:t>انصراف در مفاهیم</w:t>
      </w:r>
      <w:bookmarkEnd w:id="8"/>
    </w:p>
    <w:p w:rsidR="00D60F37" w:rsidRPr="009D0F43" w:rsidRDefault="00D60F37" w:rsidP="00FB361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D0F43">
        <w:rPr>
          <w:rFonts w:ascii="IRBadr" w:hAnsi="IRBadr" w:cs="IRBadr"/>
          <w:sz w:val="28"/>
          <w:szCs w:val="28"/>
          <w:rtl/>
          <w:lang w:bidi="fa-IR"/>
        </w:rPr>
        <w:t>بحث حاضر رابطه تنگاتنگی با بحث انصراف دارد که در مباحث پیشین تا حدودی بدان اشاره شد.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انصراف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به دو صورت است؛ گاهی انصراف خارجی است و گاهی انصراف مفهومی است.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انصراف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خارج </w:t>
      </w:r>
      <w:r w:rsidR="007C25D4">
        <w:rPr>
          <w:rFonts w:ascii="IRBadr" w:hAnsi="IRBadr" w:cs="IRBadr"/>
          <w:sz w:val="28"/>
          <w:szCs w:val="28"/>
          <w:rtl/>
          <w:lang w:bidi="fa-IR"/>
        </w:rPr>
        <w:t>نشأت‌گرفته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از مصادیق متعدد مفهوم در خارج است و انصراف مفهومی این است که رواج خارجی شیء </w:t>
      </w:r>
      <w:r w:rsidR="007C25D4">
        <w:rPr>
          <w:rFonts w:ascii="IRBadr" w:hAnsi="IRBadr" w:cs="IRBadr"/>
          <w:sz w:val="28"/>
          <w:szCs w:val="28"/>
          <w:rtl/>
          <w:lang w:bidi="fa-IR"/>
        </w:rPr>
        <w:t>آن‌قدر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تکثر </w:t>
      </w:r>
      <w:r w:rsidR="007C25D4">
        <w:rPr>
          <w:rFonts w:ascii="IRBadr" w:hAnsi="IRBadr" w:cs="IRBadr"/>
          <w:sz w:val="28"/>
          <w:szCs w:val="28"/>
          <w:rtl/>
          <w:lang w:bidi="fa-IR"/>
        </w:rPr>
        <w:t>پ</w:t>
      </w:r>
      <w:r w:rsidR="007C25D4">
        <w:rPr>
          <w:rFonts w:ascii="IRBadr" w:hAnsi="IRBadr" w:cs="IRBadr" w:hint="cs"/>
          <w:sz w:val="28"/>
          <w:szCs w:val="28"/>
          <w:rtl/>
          <w:lang w:bidi="fa-IR"/>
        </w:rPr>
        <w:t>یداکرده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که معنا را تغییر داده است.</w:t>
      </w:r>
    </w:p>
    <w:p w:rsidR="00D60F37" w:rsidRPr="009D0F43" w:rsidRDefault="00D60F37" w:rsidP="00FB361E">
      <w:pPr>
        <w:pStyle w:val="Heading3"/>
        <w:rPr>
          <w:rFonts w:ascii="IRBadr" w:hAnsi="IRBadr" w:cs="IRBadr"/>
          <w:rtl/>
        </w:rPr>
      </w:pPr>
      <w:bookmarkStart w:id="9" w:name="_Toc425844359"/>
      <w:r w:rsidRPr="009D0F43">
        <w:rPr>
          <w:rFonts w:ascii="IRBadr" w:hAnsi="IRBadr" w:cs="IRBadr"/>
          <w:rtl/>
        </w:rPr>
        <w:lastRenderedPageBreak/>
        <w:t>حجیت در انصراف</w:t>
      </w:r>
      <w:bookmarkEnd w:id="9"/>
    </w:p>
    <w:p w:rsidR="00D60F37" w:rsidRPr="009D0F43" w:rsidRDefault="00D60F37" w:rsidP="00FB361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D0F43">
        <w:rPr>
          <w:rFonts w:ascii="IRBadr" w:hAnsi="IRBadr" w:cs="IRBadr"/>
          <w:sz w:val="28"/>
          <w:szCs w:val="28"/>
          <w:rtl/>
          <w:lang w:bidi="fa-IR"/>
        </w:rPr>
        <w:t>نوع دوم از انصراف یعنی انصراف مفهومی است که دارای حجیت است.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این مقام نیز اگر انصراف در این کالبد شکل بگیرد حجیت پیدا خواهد کرد.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C25D4">
        <w:rPr>
          <w:rFonts w:ascii="IRBadr" w:hAnsi="IRBadr" w:cs="IRBadr"/>
          <w:sz w:val="28"/>
          <w:szCs w:val="28"/>
          <w:rtl/>
          <w:lang w:bidi="fa-IR"/>
        </w:rPr>
        <w:t>بنابرا</w:t>
      </w:r>
      <w:r w:rsidR="007C25D4">
        <w:rPr>
          <w:rFonts w:ascii="IRBadr" w:hAnsi="IRBadr" w:cs="IRBadr" w:hint="cs"/>
          <w:sz w:val="28"/>
          <w:szCs w:val="28"/>
          <w:rtl/>
          <w:lang w:bidi="fa-IR"/>
        </w:rPr>
        <w:t>ین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در بحث جلد باید به دنبال انصراف مفهومی باشیم که مفهوم جلد در آن دارای حجیت است.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لکن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این امری صعب است چراکه لازمه آن بحثی تاریخی و </w:t>
      </w:r>
      <w:r w:rsidR="007C25D4">
        <w:rPr>
          <w:rFonts w:ascii="IRBadr" w:hAnsi="IRBadr" w:cs="IRBadr"/>
          <w:sz w:val="28"/>
          <w:szCs w:val="28"/>
          <w:rtl/>
          <w:lang w:bidi="fa-IR"/>
        </w:rPr>
        <w:t>واژه‌شناس</w:t>
      </w:r>
      <w:r w:rsidR="007C25D4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تاریخی است،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آخر نیز بعید است که بتوان به </w:t>
      </w:r>
      <w:r w:rsidR="007C25D4">
        <w:rPr>
          <w:rFonts w:ascii="IRBadr" w:hAnsi="IRBadr" w:cs="IRBadr"/>
          <w:sz w:val="28"/>
          <w:szCs w:val="28"/>
          <w:rtl/>
          <w:lang w:bidi="fa-IR"/>
        </w:rPr>
        <w:t>نت</w:t>
      </w:r>
      <w:r w:rsidR="007C25D4">
        <w:rPr>
          <w:rFonts w:ascii="IRBadr" w:hAnsi="IRBadr" w:cs="IRBadr" w:hint="cs"/>
          <w:sz w:val="28"/>
          <w:szCs w:val="28"/>
          <w:rtl/>
          <w:lang w:bidi="fa-IR"/>
        </w:rPr>
        <w:t>یجه‌ای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C25D4">
        <w:rPr>
          <w:rFonts w:ascii="IRBadr" w:hAnsi="IRBadr" w:cs="IRBadr"/>
          <w:sz w:val="28"/>
          <w:szCs w:val="28"/>
          <w:rtl/>
          <w:lang w:bidi="fa-IR"/>
        </w:rPr>
        <w:t>اطم</w:t>
      </w:r>
      <w:r w:rsidR="007C25D4">
        <w:rPr>
          <w:rFonts w:ascii="IRBadr" w:hAnsi="IRBadr" w:cs="IRBadr" w:hint="cs"/>
          <w:sz w:val="28"/>
          <w:szCs w:val="28"/>
          <w:rtl/>
          <w:lang w:bidi="fa-IR"/>
        </w:rPr>
        <w:t>ینان‌بخش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در این زمینه رسید.</w:t>
      </w:r>
    </w:p>
    <w:p w:rsidR="00D60F37" w:rsidRPr="009D0F43" w:rsidRDefault="00A564C0" w:rsidP="00FB361E">
      <w:pPr>
        <w:pStyle w:val="Heading4"/>
        <w:ind w:firstLine="0"/>
        <w:rPr>
          <w:rFonts w:ascii="IRBadr" w:hAnsi="IRBadr" w:cs="IRBadr"/>
          <w:rtl/>
        </w:rPr>
      </w:pPr>
      <w:r w:rsidRPr="009D0F43">
        <w:rPr>
          <w:rFonts w:ascii="IRBadr" w:hAnsi="IRBadr" w:cs="IRBadr"/>
          <w:rtl/>
        </w:rPr>
        <w:t>احتیاط در حدود</w:t>
      </w:r>
    </w:p>
    <w:p w:rsidR="00A564C0" w:rsidRPr="009D0F43" w:rsidRDefault="00FB361E" w:rsidP="00FB361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D0F43">
        <w:rPr>
          <w:rFonts w:ascii="IRBadr" w:hAnsi="IRBadr" w:cs="IRBadr"/>
          <w:sz w:val="28"/>
          <w:szCs w:val="28"/>
          <w:rtl/>
          <w:lang w:bidi="fa-IR"/>
        </w:rPr>
        <w:t>سابقاً</w:t>
      </w:r>
      <w:r w:rsidR="00A564C0" w:rsidRPr="009D0F43">
        <w:rPr>
          <w:rFonts w:ascii="IRBadr" w:hAnsi="IRBadr" w:cs="IRBadr"/>
          <w:sz w:val="28"/>
          <w:szCs w:val="28"/>
          <w:rtl/>
          <w:lang w:bidi="fa-IR"/>
        </w:rPr>
        <w:t xml:space="preserve"> در باب احتیاط در حدود و محدوده قاعده درع سخنانی به میان آمد.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گفته</w:t>
      </w:r>
      <w:r w:rsidR="00A564C0" w:rsidRPr="009D0F43">
        <w:rPr>
          <w:rFonts w:ascii="IRBadr" w:hAnsi="IRBadr" w:cs="IRBadr"/>
          <w:sz w:val="28"/>
          <w:szCs w:val="28"/>
          <w:rtl/>
          <w:lang w:bidi="fa-IR"/>
        </w:rPr>
        <w:t xml:space="preserve"> شد که در این مقام احتیاط اقتضا 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A564C0" w:rsidRPr="009D0F43">
        <w:rPr>
          <w:rFonts w:ascii="IRBadr" w:hAnsi="IRBadr" w:cs="IRBadr"/>
          <w:sz w:val="28"/>
          <w:szCs w:val="28"/>
          <w:rtl/>
          <w:lang w:bidi="fa-IR"/>
        </w:rPr>
        <w:t xml:space="preserve"> که در مواردی که شک نسبت به 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A564C0" w:rsidRPr="009D0F43">
        <w:rPr>
          <w:rFonts w:ascii="IRBadr" w:hAnsi="IRBadr" w:cs="IRBadr"/>
          <w:sz w:val="28"/>
          <w:szCs w:val="28"/>
          <w:rtl/>
          <w:lang w:bidi="fa-IR"/>
        </w:rPr>
        <w:t xml:space="preserve"> وجود دارد حد 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>بدان‌ها</w:t>
      </w:r>
      <w:r w:rsidR="00A564C0" w:rsidRPr="009D0F43">
        <w:rPr>
          <w:rFonts w:ascii="IRBadr" w:hAnsi="IRBadr" w:cs="IRBadr"/>
          <w:sz w:val="28"/>
          <w:szCs w:val="28"/>
          <w:rtl/>
          <w:lang w:bidi="fa-IR"/>
        </w:rPr>
        <w:t xml:space="preserve"> اصابت نکند.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A564C0" w:rsidRPr="009D0F43">
        <w:rPr>
          <w:rFonts w:ascii="IRBadr" w:hAnsi="IRBadr" w:cs="IRBadr"/>
          <w:sz w:val="28"/>
          <w:szCs w:val="28"/>
          <w:rtl/>
          <w:lang w:bidi="fa-IR"/>
        </w:rPr>
        <w:t xml:space="preserve"> ممکن است کسی در اینجا بگوید؛ چون در اینجا از جهت مفهومی شبهه داریم جای اطلاق گیری وجود ندارد و باید احتیاط پیشه کرد.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C25D4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="00A564C0" w:rsidRPr="009D0F43">
        <w:rPr>
          <w:rFonts w:ascii="IRBadr" w:hAnsi="IRBadr" w:cs="IRBadr"/>
          <w:sz w:val="28"/>
          <w:szCs w:val="28"/>
          <w:rtl/>
          <w:lang w:bidi="fa-IR"/>
        </w:rPr>
        <w:t xml:space="preserve"> صحت این ادعا نیز امری دور از وادی نیست.</w:t>
      </w:r>
    </w:p>
    <w:p w:rsidR="00D60F37" w:rsidRPr="009D0F43" w:rsidRDefault="007C25D4" w:rsidP="00FB361E">
      <w:pPr>
        <w:pStyle w:val="Heading4"/>
        <w:ind w:firstLine="0"/>
        <w:rPr>
          <w:rFonts w:ascii="IRBadr" w:hAnsi="IRBadr" w:cs="IRBadr"/>
          <w:rtl/>
        </w:rPr>
      </w:pPr>
      <w:r>
        <w:rPr>
          <w:rFonts w:ascii="IRBadr" w:hAnsi="IRBadr" w:cs="IRBadr"/>
          <w:rtl/>
        </w:rPr>
        <w:t>جمع‌بند</w:t>
      </w:r>
      <w:r>
        <w:rPr>
          <w:rFonts w:ascii="IRBadr" w:hAnsi="IRBadr" w:cs="IRBadr" w:hint="cs"/>
          <w:rtl/>
        </w:rPr>
        <w:t>ی</w:t>
      </w:r>
    </w:p>
    <w:p w:rsidR="00A564C0" w:rsidRPr="009D0F43" w:rsidRDefault="00A564C0" w:rsidP="00FB361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مقام اول درباره این بود که جلد چه مفهومی دارد که گفته شد این امری </w:t>
      </w:r>
      <w:r w:rsidR="007C25D4">
        <w:rPr>
          <w:rFonts w:ascii="IRBadr" w:hAnsi="IRBadr" w:cs="IRBadr"/>
          <w:sz w:val="28"/>
          <w:szCs w:val="28"/>
          <w:rtl/>
          <w:lang w:bidi="fa-IR"/>
        </w:rPr>
        <w:t>مستصعب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است و نیاز به تتبع خاص تاریخی و لغوی دارد. در مقام دوم به این پرداختیم که؛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چون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در این مقام در حوزه مفهومی جلد دچار تشکیکی 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>شده‌ایم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باید </w:t>
      </w:r>
      <w:r w:rsidR="007C25D4">
        <w:rPr>
          <w:rFonts w:ascii="IRBadr" w:hAnsi="IRBadr" w:cs="IRBadr"/>
          <w:sz w:val="28"/>
          <w:szCs w:val="28"/>
          <w:rtl/>
          <w:lang w:bidi="fa-IR"/>
        </w:rPr>
        <w:t>به‌قاعده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درع اتکا کرد و احتیاط پیشه نماییم و جایی برای اطلاق گیری در اینجا وجود ندارد.</w:t>
      </w:r>
    </w:p>
    <w:p w:rsidR="00A564C0" w:rsidRPr="009D0F43" w:rsidRDefault="00A564C0" w:rsidP="00FB361E">
      <w:pPr>
        <w:pStyle w:val="Heading4"/>
        <w:ind w:firstLine="0"/>
        <w:rPr>
          <w:rFonts w:ascii="IRBadr" w:hAnsi="IRBadr" w:cs="IRBadr"/>
          <w:rtl/>
        </w:rPr>
      </w:pPr>
      <w:r w:rsidRPr="009D0F43">
        <w:rPr>
          <w:rFonts w:ascii="IRBadr" w:hAnsi="IRBadr" w:cs="IRBadr"/>
          <w:rtl/>
        </w:rPr>
        <w:t>صور وجود ضرر</w:t>
      </w:r>
    </w:p>
    <w:p w:rsidR="00A564C0" w:rsidRPr="009D0F43" w:rsidRDefault="00A564C0" w:rsidP="00FB361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در اینجا باید متذکر این نکته اساسی شد که همه این 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>بحث‌ها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در صورتی است ضرر خاص یا قتل در قبال اجرای حدود متصور نباشد،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در غیر این صورت،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اجرای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حد محل اشکال خواهد بود.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C25D4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این استثنایی است که در </w:t>
      </w:r>
      <w:r w:rsidR="007C25D4">
        <w:rPr>
          <w:rFonts w:ascii="IRBadr" w:hAnsi="IRBadr" w:cs="IRBadr"/>
          <w:sz w:val="28"/>
          <w:szCs w:val="28"/>
          <w:rtl/>
          <w:lang w:bidi="fa-IR"/>
        </w:rPr>
        <w:t>همه‌جا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جاری 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7C25D4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خط قرمزی محسوب 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>.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اگر در مواردی این احتمال داده شد که ضربه وارد شدن به عورت یا سر یا ...ضرر متعارفی به فرد وارد 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>،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مقام اجرای حد باید </w:t>
      </w:r>
      <w:r w:rsidR="007C25D4">
        <w:rPr>
          <w:rFonts w:ascii="IRBadr" w:hAnsi="IRBadr" w:cs="IRBadr"/>
          <w:sz w:val="28"/>
          <w:szCs w:val="28"/>
          <w:rtl/>
          <w:lang w:bidi="fa-IR"/>
        </w:rPr>
        <w:t>تجد</w:t>
      </w:r>
      <w:r w:rsidR="007C25D4">
        <w:rPr>
          <w:rFonts w:ascii="IRBadr" w:hAnsi="IRBadr" w:cs="IRBadr" w:hint="cs"/>
          <w:sz w:val="28"/>
          <w:szCs w:val="28"/>
          <w:rtl/>
          <w:lang w:bidi="fa-IR"/>
        </w:rPr>
        <w:t>یدنظر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نمود.</w:t>
      </w:r>
    </w:p>
    <w:p w:rsidR="00A564C0" w:rsidRPr="009D0F43" w:rsidRDefault="007A64AA" w:rsidP="00FB361E">
      <w:pPr>
        <w:pStyle w:val="Heading4"/>
        <w:ind w:firstLine="0"/>
        <w:rPr>
          <w:rFonts w:ascii="IRBadr" w:hAnsi="IRBadr" w:cs="IRBadr"/>
          <w:rtl/>
        </w:rPr>
      </w:pPr>
      <w:r w:rsidRPr="009D0F43">
        <w:rPr>
          <w:rFonts w:ascii="IRBadr" w:hAnsi="IRBadr" w:cs="IRBadr"/>
          <w:rtl/>
        </w:rPr>
        <w:t>مستثنیات حد</w:t>
      </w:r>
    </w:p>
    <w:p w:rsidR="007A64AA" w:rsidRPr="009D0F43" w:rsidRDefault="007C25D4" w:rsidP="00FB361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ازنظر</w:t>
      </w:r>
      <w:r w:rsidR="007A64AA" w:rsidRPr="009D0F43">
        <w:rPr>
          <w:rFonts w:ascii="IRBadr" w:hAnsi="IRBadr" w:cs="IRBadr"/>
          <w:sz w:val="28"/>
          <w:szCs w:val="28"/>
          <w:rtl/>
          <w:lang w:bidi="fa-IR"/>
        </w:rPr>
        <w:t xml:space="preserve"> عامه و خاصه،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وجه</w:t>
      </w:r>
      <w:r w:rsidR="007A64AA" w:rsidRPr="009D0F43">
        <w:rPr>
          <w:rFonts w:ascii="IRBadr" w:hAnsi="IRBadr" w:cs="IRBadr"/>
          <w:sz w:val="28"/>
          <w:szCs w:val="28"/>
          <w:rtl/>
          <w:lang w:bidi="fa-IR"/>
        </w:rPr>
        <w:t xml:space="preserve"> و عورت از مواردی </w:t>
      </w:r>
      <w:r w:rsidR="004C3D99">
        <w:rPr>
          <w:rFonts w:ascii="IRBadr" w:hAnsi="IRBadr" w:cs="IRBadr"/>
          <w:sz w:val="28"/>
          <w:szCs w:val="28"/>
          <w:rtl/>
          <w:lang w:bidi="fa-IR"/>
        </w:rPr>
        <w:t>هستند</w:t>
      </w:r>
      <w:r w:rsidR="007A64AA" w:rsidRPr="009D0F43">
        <w:rPr>
          <w:rFonts w:ascii="IRBadr" w:hAnsi="IRBadr" w:cs="IRBadr"/>
          <w:sz w:val="28"/>
          <w:szCs w:val="28"/>
          <w:rtl/>
          <w:lang w:bidi="fa-IR"/>
        </w:rPr>
        <w:t xml:space="preserve"> که به نحوی اتفاقی مورد استثنا </w:t>
      </w:r>
      <w:r w:rsidR="00F276D2">
        <w:rPr>
          <w:rFonts w:ascii="IRBadr" w:hAnsi="IRBadr" w:cs="IRBadr"/>
          <w:sz w:val="28"/>
          <w:szCs w:val="28"/>
          <w:rtl/>
          <w:lang w:bidi="fa-IR"/>
        </w:rPr>
        <w:t>قرارگرفته‌اند</w:t>
      </w:r>
      <w:r w:rsidR="007A64AA" w:rsidRPr="009D0F43">
        <w:rPr>
          <w:rFonts w:ascii="IRBadr" w:hAnsi="IRBadr" w:cs="IRBadr"/>
          <w:sz w:val="28"/>
          <w:szCs w:val="28"/>
          <w:rtl/>
          <w:lang w:bidi="fa-IR"/>
        </w:rPr>
        <w:t>،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7A64AA" w:rsidRPr="009D0F43">
        <w:rPr>
          <w:rFonts w:ascii="IRBadr" w:hAnsi="IRBadr" w:cs="IRBadr"/>
          <w:sz w:val="28"/>
          <w:szCs w:val="28"/>
          <w:rtl/>
          <w:lang w:bidi="fa-IR"/>
        </w:rPr>
        <w:t xml:space="preserve"> برخی کلمات خاصه رأس و </w:t>
      </w:r>
      <w:r w:rsidR="00F276D2">
        <w:rPr>
          <w:rFonts w:ascii="IRBadr" w:hAnsi="IRBadr" w:cs="IRBadr"/>
          <w:sz w:val="28"/>
          <w:szCs w:val="28"/>
          <w:rtl/>
          <w:lang w:bidi="fa-IR"/>
        </w:rPr>
        <w:t>در برخ</w:t>
      </w:r>
      <w:r w:rsidR="00F276D2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7A64AA" w:rsidRPr="009D0F43">
        <w:rPr>
          <w:rFonts w:ascii="IRBadr" w:hAnsi="IRBadr" w:cs="IRBadr"/>
          <w:sz w:val="28"/>
          <w:szCs w:val="28"/>
          <w:rtl/>
          <w:lang w:bidi="fa-IR"/>
        </w:rPr>
        <w:t xml:space="preserve"> سخنان عامه گردن نیز استثنا شده است.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="007A64AA" w:rsidRPr="009D0F43">
        <w:rPr>
          <w:rFonts w:ascii="IRBadr" w:hAnsi="IRBadr" w:cs="IRBadr"/>
          <w:sz w:val="28"/>
          <w:szCs w:val="28"/>
          <w:rtl/>
          <w:lang w:bidi="fa-IR"/>
        </w:rPr>
        <w:t xml:space="preserve"> بعید است </w:t>
      </w:r>
      <w:r w:rsidR="00F276D2">
        <w:rPr>
          <w:rFonts w:ascii="IRBadr" w:hAnsi="IRBadr" w:cs="IRBadr"/>
          <w:sz w:val="28"/>
          <w:szCs w:val="28"/>
          <w:rtl/>
          <w:lang w:bidi="fa-IR"/>
        </w:rPr>
        <w:t>آن‌گونه</w:t>
      </w:r>
      <w:r w:rsidR="007A64AA" w:rsidRPr="009D0F43">
        <w:rPr>
          <w:rFonts w:ascii="IRBadr" w:hAnsi="IRBadr" w:cs="IRBadr"/>
          <w:sz w:val="28"/>
          <w:szCs w:val="28"/>
          <w:rtl/>
          <w:lang w:bidi="fa-IR"/>
        </w:rPr>
        <w:t xml:space="preserve"> که آقای مکارم تلقی 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 w:rsidR="007A64AA" w:rsidRPr="009D0F43">
        <w:rPr>
          <w:rFonts w:ascii="IRBadr" w:hAnsi="IRBadr" w:cs="IRBadr"/>
          <w:sz w:val="28"/>
          <w:szCs w:val="28"/>
          <w:rtl/>
          <w:lang w:bidi="fa-IR"/>
        </w:rPr>
        <w:t xml:space="preserve"> این اختلاف تعابیری 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>صرفاً</w:t>
      </w:r>
      <w:r w:rsidR="007A64AA" w:rsidRPr="009D0F43">
        <w:rPr>
          <w:rFonts w:ascii="IRBadr" w:hAnsi="IRBadr" w:cs="IRBadr"/>
          <w:sz w:val="28"/>
          <w:szCs w:val="28"/>
          <w:rtl/>
          <w:lang w:bidi="fa-IR"/>
        </w:rPr>
        <w:t xml:space="preserve"> از باب تفنن در حوزه گفتاری باشد.</w:t>
      </w:r>
    </w:p>
    <w:p w:rsidR="00A564C0" w:rsidRPr="009D0F43" w:rsidRDefault="007A64AA" w:rsidP="00FB361E">
      <w:pPr>
        <w:pStyle w:val="Heading4"/>
        <w:ind w:firstLine="0"/>
        <w:rPr>
          <w:rFonts w:ascii="IRBadr" w:hAnsi="IRBadr" w:cs="IRBadr"/>
          <w:rtl/>
        </w:rPr>
      </w:pPr>
      <w:r w:rsidRPr="009D0F43">
        <w:rPr>
          <w:rFonts w:ascii="IRBadr" w:hAnsi="IRBadr" w:cs="IRBadr"/>
          <w:rtl/>
        </w:rPr>
        <w:t>مستند موارد مورد وفاق</w:t>
      </w:r>
    </w:p>
    <w:p w:rsidR="007A64AA" w:rsidRPr="009D0F43" w:rsidRDefault="007A64AA" w:rsidP="00FB361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اما باید دید مستند مواردی که هم عامه و هم خاصه در آن </w:t>
      </w:r>
      <w:r w:rsidR="00F276D2">
        <w:rPr>
          <w:rFonts w:ascii="IRBadr" w:hAnsi="IRBadr" w:cs="IRBadr"/>
          <w:sz w:val="28"/>
          <w:szCs w:val="28"/>
          <w:rtl/>
          <w:lang w:bidi="fa-IR"/>
        </w:rPr>
        <w:t>اتفاق‌نظر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دارند چیست؟</w:t>
      </w:r>
    </w:p>
    <w:p w:rsidR="00C77D66" w:rsidRPr="009D0F43" w:rsidRDefault="006E326B" w:rsidP="00FB361E">
      <w:pPr>
        <w:pStyle w:val="Heading4"/>
        <w:ind w:firstLine="0"/>
        <w:rPr>
          <w:rFonts w:ascii="IRBadr" w:hAnsi="IRBadr" w:cs="IRBadr"/>
          <w:rtl/>
        </w:rPr>
      </w:pPr>
      <w:r w:rsidRPr="009D0F43">
        <w:rPr>
          <w:rFonts w:ascii="IRBadr" w:hAnsi="IRBadr" w:cs="IRBadr"/>
          <w:rtl/>
        </w:rPr>
        <w:lastRenderedPageBreak/>
        <w:t xml:space="preserve">روایت </w:t>
      </w:r>
      <w:r w:rsidR="00C77D66" w:rsidRPr="009D0F43">
        <w:rPr>
          <w:rFonts w:ascii="IRBadr" w:hAnsi="IRBadr" w:cs="IRBadr"/>
          <w:rtl/>
        </w:rPr>
        <w:t>اول</w:t>
      </w:r>
    </w:p>
    <w:p w:rsidR="007A64AA" w:rsidRPr="009D0F43" w:rsidRDefault="007A64AA" w:rsidP="00FB361E">
      <w:pPr>
        <w:pStyle w:val="NormalWeb"/>
        <w:bidi/>
        <w:jc w:val="both"/>
        <w:rPr>
          <w:rFonts w:ascii="IRBadr" w:hAnsi="IRBadr" w:cs="IRBadr"/>
          <w:color w:val="000000"/>
          <w:sz w:val="2"/>
          <w:szCs w:val="2"/>
          <w:rtl/>
        </w:rPr>
      </w:pPr>
      <w:r w:rsidRPr="009D0F43">
        <w:rPr>
          <w:rFonts w:ascii="IRBadr" w:hAnsi="IRBadr" w:cs="IRBadr"/>
          <w:sz w:val="28"/>
          <w:szCs w:val="28"/>
          <w:rtl/>
        </w:rPr>
        <w:t xml:space="preserve">روایت اول که روایتی معتبر است در آن </w:t>
      </w:r>
      <w:r w:rsidR="00F276D2">
        <w:rPr>
          <w:rFonts w:ascii="IRBadr" w:hAnsi="IRBadr" w:cs="IRBadr"/>
          <w:sz w:val="28"/>
          <w:szCs w:val="28"/>
          <w:rtl/>
        </w:rPr>
        <w:t>گفته‌شده</w:t>
      </w:r>
      <w:r w:rsidRPr="009D0F43">
        <w:rPr>
          <w:rFonts w:ascii="IRBadr" w:hAnsi="IRBadr" w:cs="IRBadr"/>
          <w:sz w:val="28"/>
          <w:szCs w:val="28"/>
          <w:rtl/>
        </w:rPr>
        <w:t xml:space="preserve"> است؛</w:t>
      </w:r>
    </w:p>
    <w:p w:rsidR="00C77D66" w:rsidRPr="009D0F43" w:rsidRDefault="00C77D66" w:rsidP="00FB361E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«مُحَمَّدٍ عَنْ عَلِ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بْنِ الْحَ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مِ عَنْ أَبَانٍ عَنْ زُرَارَةَ عَنْ أَبِ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جَعْفَرٍ ع قَالَ: 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ضْرَبُ الرَّجُلُ الْحَدَّ قَائِماً وَ الْمَرْأَةُ قَاعِدَةً وَ 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ضْرَبُ عَلَ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لِّ عُضْوٍ وَ 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تْرَ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الرَّأْسُ وَ الْمَذَا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کی</w:t>
      </w:r>
      <w:r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رُ.» </w:t>
      </w:r>
      <w:r w:rsidR="00FB361E" w:rsidRPr="009D0F43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2"/>
      </w:r>
    </w:p>
    <w:p w:rsidR="007A64AA" w:rsidRPr="009D0F43" w:rsidRDefault="007A64AA" w:rsidP="00FB361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D0F43">
        <w:rPr>
          <w:rFonts w:ascii="IRBadr" w:hAnsi="IRBadr" w:cs="IRBadr"/>
          <w:sz w:val="28"/>
          <w:szCs w:val="28"/>
          <w:rtl/>
          <w:lang w:bidi="fa-IR"/>
        </w:rPr>
        <w:t>که در اینجا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رأس و عورت </w:t>
      </w:r>
      <w:r w:rsidR="00F276D2">
        <w:rPr>
          <w:rFonts w:ascii="IRBadr" w:hAnsi="IRBadr" w:cs="IRBadr"/>
          <w:sz w:val="28"/>
          <w:szCs w:val="28"/>
          <w:rtl/>
          <w:lang w:bidi="fa-IR"/>
        </w:rPr>
        <w:t>ب</w:t>
      </w:r>
      <w:r w:rsidR="00F276D2">
        <w:rPr>
          <w:rFonts w:ascii="IRBadr" w:hAnsi="IRBadr" w:cs="IRBadr" w:hint="cs"/>
          <w:sz w:val="28"/>
          <w:szCs w:val="28"/>
          <w:rtl/>
          <w:lang w:bidi="fa-IR"/>
        </w:rPr>
        <w:t>یان‌شده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روایت در ابواب حد زنا،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باب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یازدهم </w:t>
      </w:r>
      <w:r w:rsidR="00F276D2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7A64AA" w:rsidRPr="009D0F43" w:rsidRDefault="007A64AA" w:rsidP="00FB361E">
      <w:pPr>
        <w:pStyle w:val="Heading4"/>
        <w:ind w:firstLine="0"/>
        <w:rPr>
          <w:rFonts w:ascii="IRBadr" w:hAnsi="IRBadr" w:cs="IRBadr"/>
          <w:rtl/>
        </w:rPr>
      </w:pPr>
      <w:r w:rsidRPr="009D0F43">
        <w:rPr>
          <w:rFonts w:ascii="IRBadr" w:hAnsi="IRBadr" w:cs="IRBadr"/>
          <w:rtl/>
        </w:rPr>
        <w:t>روایت دوم</w:t>
      </w:r>
    </w:p>
    <w:p w:rsidR="007A64AA" w:rsidRPr="009D0F43" w:rsidRDefault="007A64AA" w:rsidP="00FB361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D0F43">
        <w:rPr>
          <w:rFonts w:ascii="IRBadr" w:hAnsi="IRBadr" w:cs="IRBadr"/>
          <w:sz w:val="28"/>
          <w:szCs w:val="28"/>
          <w:rtl/>
          <w:lang w:bidi="fa-IR"/>
        </w:rPr>
        <w:t>روایت ششم همین باب نیز شاهد روایت دیگری در همین جایگاه است؛</w:t>
      </w:r>
    </w:p>
    <w:p w:rsidR="006E326B" w:rsidRPr="009D0F43" w:rsidRDefault="006E326B" w:rsidP="00FB361E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«عَنْهُ عَنْ حَمَّادٍ عَنْ حَرِ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زٍ عَمَّنْ أَخْبَرَهُ عَنْ أَبِ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جَعْفَرٍ ع أَنَّهُ قَالَ: 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فَرَّقُ الْحَدُّ عَلَ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الْجَسَدِ 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لِّهِ وَ 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تَّقَ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الْفَرْجُ وَ الْوَجْهُ وَ 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ضْرَبُ بَ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 الضَّرْبَ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نِ.»</w:t>
      </w:r>
      <w:r w:rsidR="00FB361E" w:rsidRPr="009D0F43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3"/>
      </w:r>
    </w:p>
    <w:p w:rsidR="007A64AA" w:rsidRPr="009D0F43" w:rsidRDefault="007A64AA" w:rsidP="00FB361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این روایت مرسله است و تنها فرج و وجه در آن </w:t>
      </w:r>
      <w:r w:rsidR="00F276D2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است و </w:t>
      </w:r>
      <w:r w:rsidR="00F276D2">
        <w:rPr>
          <w:rFonts w:ascii="IRBadr" w:hAnsi="IRBadr" w:cs="IRBadr"/>
          <w:sz w:val="28"/>
          <w:szCs w:val="28"/>
          <w:rtl/>
          <w:lang w:bidi="fa-IR"/>
        </w:rPr>
        <w:t>اشاره‌ا</w:t>
      </w:r>
      <w:r w:rsidR="00F276D2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به رأس نشده است.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روایت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هشتمی نیز در این باب وجود دارد که از اعتبار چندانی برخوردار نیست که معمول این روایات دارای اطلاقی خاص در این زمینه است.</w:t>
      </w:r>
    </w:p>
    <w:p w:rsidR="007A64AA" w:rsidRPr="009D0F43" w:rsidRDefault="007A64AA" w:rsidP="00FB361E">
      <w:pPr>
        <w:pStyle w:val="Heading4"/>
        <w:ind w:firstLine="0"/>
        <w:rPr>
          <w:rFonts w:ascii="IRBadr" w:hAnsi="IRBadr" w:cs="IRBadr"/>
          <w:rtl/>
        </w:rPr>
      </w:pPr>
      <w:r w:rsidRPr="009D0F43">
        <w:rPr>
          <w:rFonts w:ascii="IRBadr" w:hAnsi="IRBadr" w:cs="IRBadr"/>
          <w:rtl/>
        </w:rPr>
        <w:t>روایت سوم</w:t>
      </w:r>
    </w:p>
    <w:p w:rsidR="007A64AA" w:rsidRPr="009D0F43" w:rsidRDefault="007A64AA" w:rsidP="00FB361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D0F43">
        <w:rPr>
          <w:rFonts w:ascii="IRBadr" w:hAnsi="IRBadr" w:cs="IRBadr"/>
          <w:sz w:val="28"/>
          <w:szCs w:val="28"/>
          <w:rtl/>
          <w:lang w:bidi="fa-IR"/>
        </w:rPr>
        <w:t>این روایت در باب چهارده از ابواب</w:t>
      </w:r>
      <w:r w:rsidR="00882665" w:rsidRPr="009D0F43">
        <w:rPr>
          <w:rFonts w:ascii="IRBadr" w:hAnsi="IRBadr" w:cs="IRBadr"/>
          <w:sz w:val="28"/>
          <w:szCs w:val="28"/>
          <w:rtl/>
          <w:lang w:bidi="fa-IR"/>
        </w:rPr>
        <w:t xml:space="preserve"> حد زنا و حدیث ششم است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82665" w:rsidRPr="009D0F43">
        <w:rPr>
          <w:rFonts w:ascii="IRBadr" w:hAnsi="IRBadr" w:cs="IRBadr"/>
          <w:sz w:val="28"/>
          <w:szCs w:val="28"/>
          <w:rtl/>
          <w:lang w:bidi="fa-IR"/>
        </w:rPr>
        <w:t>که شاید معتبر باشد چراکه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82665" w:rsidRPr="009D0F43">
        <w:rPr>
          <w:rFonts w:ascii="IRBadr" w:hAnsi="IRBadr" w:cs="IRBadr"/>
          <w:sz w:val="28"/>
          <w:szCs w:val="28"/>
          <w:rtl/>
          <w:lang w:bidi="fa-IR"/>
        </w:rPr>
        <w:t>تنها در علی بن سندی تردید وجود دارد و بقیه رجال واقع در سند از اعتبار برخوردارند.</w:t>
      </w:r>
    </w:p>
    <w:p w:rsidR="006E326B" w:rsidRPr="009D0F43" w:rsidRDefault="006E326B" w:rsidP="00FB361E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«الصَّفَّارُ عَنِ السِّنْدِ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بْنِ الرَّبِ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عِ عَنْ عَلِ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بْنِ أَحْمَدَ بْنِ مُحَمَّدِ بْنِ أَبِ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نَصْرٍ عَنْ أَبِ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عَنْ جَمِ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لِ بْنِ دَرَّاجٍ عَنْ مُحَمَّدِ بْنِ مُسْلِمٍ عَنْ أَبِ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جَعْفَرٍ ع قَالَ: الَّذِ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جِبُ عَلَ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هِ الرَّجْمُ 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رْجَمُ مِنْ وَرَائِهِ وَ لَا 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رْجَمُ مِنْ وَجْهِهِ لِأَنَّ الرَّجْمَ وَ الضَّرْبَ لَا 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صِ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بَانِ الْوَجْهَ وَ إِنَّمَا 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ضْرَبَانِ عَلَ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الْجَسَدِ عَلَ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الْأَعْضَاءِ 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لِّهَا.»</w:t>
      </w:r>
      <w:r w:rsidR="00FB361E" w:rsidRPr="009D0F43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4"/>
      </w:r>
    </w:p>
    <w:p w:rsidR="00882665" w:rsidRPr="009D0F43" w:rsidRDefault="00882665" w:rsidP="00FB361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D0F43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برخی در اینجا 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>گفته‌اند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از این روایت القای خصوصیت نمود.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با قرائنی که در اینجا وجود دارد رأس ام از رأس است و آن را دربر 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882665" w:rsidRPr="009D0F43" w:rsidRDefault="00882665" w:rsidP="00FB361E">
      <w:pPr>
        <w:pStyle w:val="Heading4"/>
        <w:ind w:firstLine="0"/>
        <w:rPr>
          <w:rFonts w:ascii="IRBadr" w:hAnsi="IRBadr" w:cs="IRBadr"/>
          <w:rtl/>
        </w:rPr>
      </w:pPr>
      <w:r w:rsidRPr="009D0F43">
        <w:rPr>
          <w:rFonts w:ascii="IRBadr" w:hAnsi="IRBadr" w:cs="IRBadr"/>
          <w:rtl/>
        </w:rPr>
        <w:t>قیام یا قعود در حال حد</w:t>
      </w:r>
    </w:p>
    <w:p w:rsidR="00882665" w:rsidRPr="009D0F43" w:rsidRDefault="00882665" w:rsidP="00FB361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D0F43">
        <w:rPr>
          <w:rFonts w:ascii="IRBadr" w:hAnsi="IRBadr" w:cs="IRBadr"/>
          <w:sz w:val="28"/>
          <w:szCs w:val="28"/>
          <w:rtl/>
          <w:lang w:bidi="fa-IR"/>
        </w:rPr>
        <w:t>این سؤال مطرح شد که آیا باید فرد در هنگام حد ایستاده یا نشسته باشد؟</w:t>
      </w:r>
    </w:p>
    <w:p w:rsidR="00882665" w:rsidRPr="009D0F43" w:rsidRDefault="00882665" w:rsidP="00FB361E">
      <w:pPr>
        <w:pStyle w:val="Heading4"/>
        <w:ind w:firstLine="0"/>
        <w:rPr>
          <w:rFonts w:ascii="IRBadr" w:hAnsi="IRBadr" w:cs="IRBadr"/>
          <w:rtl/>
        </w:rPr>
      </w:pPr>
      <w:r w:rsidRPr="009D0F43">
        <w:rPr>
          <w:rFonts w:ascii="IRBadr" w:hAnsi="IRBadr" w:cs="IRBadr"/>
          <w:rtl/>
        </w:rPr>
        <w:t>مستند بحث</w:t>
      </w:r>
    </w:p>
    <w:p w:rsidR="00882665" w:rsidRPr="009D0F43" w:rsidRDefault="00882665" w:rsidP="00FB361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در روایت </w:t>
      </w:r>
      <w:r w:rsidR="00F276D2">
        <w:rPr>
          <w:rFonts w:ascii="IRBadr" w:hAnsi="IRBadr" w:cs="IRBadr"/>
          <w:sz w:val="28"/>
          <w:szCs w:val="28"/>
          <w:rtl/>
          <w:lang w:bidi="fa-IR"/>
        </w:rPr>
        <w:t>ب</w:t>
      </w:r>
      <w:r w:rsidR="00F276D2">
        <w:rPr>
          <w:rFonts w:ascii="IRBadr" w:hAnsi="IRBadr" w:cs="IRBadr" w:hint="cs"/>
          <w:sz w:val="28"/>
          <w:szCs w:val="28"/>
          <w:rtl/>
          <w:lang w:bidi="fa-IR"/>
        </w:rPr>
        <w:t>یان‌شده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است که مرد باید ایستاده و زن باید نشسته </w:t>
      </w:r>
      <w:r w:rsidR="00F276D2">
        <w:rPr>
          <w:rFonts w:ascii="IRBadr" w:hAnsi="IRBadr" w:cs="IRBadr"/>
          <w:sz w:val="28"/>
          <w:szCs w:val="28"/>
          <w:rtl/>
          <w:lang w:bidi="fa-IR"/>
        </w:rPr>
        <w:t>مورداجرا</w:t>
      </w:r>
      <w:r w:rsidR="00F276D2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حد قرار بگیرند.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تقریباً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در این فرع </w:t>
      </w:r>
      <w:r w:rsidR="00F276D2">
        <w:rPr>
          <w:rFonts w:ascii="IRBadr" w:hAnsi="IRBadr" w:cs="IRBadr"/>
          <w:sz w:val="28"/>
          <w:szCs w:val="28"/>
          <w:rtl/>
          <w:lang w:bidi="fa-IR"/>
        </w:rPr>
        <w:t>اتفاق‌نظر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میان فقها وجود دارد.</w:t>
      </w:r>
    </w:p>
    <w:p w:rsidR="00882665" w:rsidRPr="009D0F43" w:rsidRDefault="00882665" w:rsidP="00FB361E">
      <w:pPr>
        <w:pStyle w:val="Heading4"/>
        <w:ind w:firstLine="0"/>
        <w:rPr>
          <w:rFonts w:ascii="IRBadr" w:hAnsi="IRBadr" w:cs="IRBadr"/>
          <w:rtl/>
        </w:rPr>
      </w:pPr>
      <w:r w:rsidRPr="009D0F43">
        <w:rPr>
          <w:rFonts w:ascii="IRBadr" w:hAnsi="IRBadr" w:cs="IRBadr"/>
          <w:rtl/>
        </w:rPr>
        <w:t>شدت ضرب</w:t>
      </w:r>
    </w:p>
    <w:p w:rsidR="00882665" w:rsidRPr="009D0F43" w:rsidRDefault="00882665" w:rsidP="00FB361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D0F43">
        <w:rPr>
          <w:rFonts w:ascii="IRBadr" w:hAnsi="IRBadr" w:cs="IRBadr"/>
          <w:sz w:val="28"/>
          <w:szCs w:val="28"/>
          <w:rtl/>
          <w:lang w:bidi="fa-IR"/>
        </w:rPr>
        <w:t>سؤال مهم دیگری که در این باب مطرح است،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بوده که ضرب باید با شدت وارد شود یا 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شدید نباشد؟</w:t>
      </w:r>
    </w:p>
    <w:p w:rsidR="00882665" w:rsidRPr="009D0F43" w:rsidRDefault="00882665" w:rsidP="00FB361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D0F43">
        <w:rPr>
          <w:rFonts w:ascii="IRBadr" w:hAnsi="IRBadr" w:cs="IRBadr"/>
          <w:sz w:val="28"/>
          <w:szCs w:val="28"/>
          <w:rtl/>
          <w:lang w:bidi="fa-IR"/>
        </w:rPr>
        <w:t>روایات متعددی وجود دارد که باید ضرب به نحو شدیدی در باب زنا اجرا شود،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تنها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روایتی ضعیف </w:t>
      </w:r>
      <w:r w:rsidR="00F276D2">
        <w:rPr>
          <w:rFonts w:ascii="IRBadr" w:hAnsi="IRBadr" w:cs="IRBadr"/>
          <w:sz w:val="28"/>
          <w:szCs w:val="28"/>
          <w:rtl/>
          <w:lang w:bidi="fa-IR"/>
        </w:rPr>
        <w:t>درا</w:t>
      </w:r>
      <w:r w:rsidR="00F276D2">
        <w:rPr>
          <w:rFonts w:ascii="IRBadr" w:hAnsi="IRBadr" w:cs="IRBadr" w:hint="cs"/>
          <w:sz w:val="28"/>
          <w:szCs w:val="28"/>
          <w:rtl/>
          <w:lang w:bidi="fa-IR"/>
        </w:rPr>
        <w:t>ین‌بین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وجود دارد که قائل 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به حد تعادل در اجرای حد،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276D2">
        <w:rPr>
          <w:rFonts w:ascii="IRBadr" w:hAnsi="IRBadr" w:cs="IRBadr"/>
          <w:sz w:val="28"/>
          <w:szCs w:val="28"/>
          <w:rtl/>
          <w:lang w:bidi="fa-IR"/>
        </w:rPr>
        <w:t>به‌نحو</w:t>
      </w:r>
      <w:r w:rsidR="00F276D2">
        <w:rPr>
          <w:rFonts w:ascii="IRBadr" w:hAnsi="IRBadr" w:cs="IRBadr" w:hint="cs"/>
          <w:sz w:val="28"/>
          <w:szCs w:val="28"/>
          <w:rtl/>
          <w:lang w:bidi="fa-IR"/>
        </w:rPr>
        <w:t>ی‌که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نه شدید و نه آهسته صورت پذیرد.</w:t>
      </w:r>
    </w:p>
    <w:p w:rsidR="00882665" w:rsidRPr="009D0F43" w:rsidRDefault="00882665" w:rsidP="00FB361E">
      <w:pPr>
        <w:pStyle w:val="Heading4"/>
        <w:ind w:firstLine="0"/>
        <w:rPr>
          <w:rFonts w:ascii="IRBadr" w:hAnsi="IRBadr" w:cs="IRBadr"/>
          <w:rtl/>
        </w:rPr>
      </w:pPr>
      <w:r w:rsidRPr="009D0F43">
        <w:rPr>
          <w:rFonts w:ascii="IRBadr" w:hAnsi="IRBadr" w:cs="IRBadr"/>
          <w:rtl/>
        </w:rPr>
        <w:t>روایت اول</w:t>
      </w:r>
    </w:p>
    <w:p w:rsidR="006E326B" w:rsidRPr="009D0F43" w:rsidRDefault="00882665" w:rsidP="00FB361E">
      <w:pPr>
        <w:pStyle w:val="NormalWeb"/>
        <w:bidi/>
        <w:jc w:val="both"/>
        <w:rPr>
          <w:rFonts w:ascii="IRBadr" w:hAnsi="IRBadr" w:cs="IRBadr"/>
          <w:color w:val="000000" w:themeColor="text1"/>
          <w:sz w:val="28"/>
          <w:szCs w:val="28"/>
          <w:rtl/>
        </w:rPr>
      </w:pPr>
      <w:r w:rsidRPr="009D0F43">
        <w:rPr>
          <w:rFonts w:ascii="IRBadr" w:hAnsi="IRBadr" w:cs="IRBadr"/>
          <w:sz w:val="28"/>
          <w:szCs w:val="28"/>
          <w:rtl/>
        </w:rPr>
        <w:t xml:space="preserve">روایت دوم از همین باب از روایاتی است که شدت ضرب را تقویت </w:t>
      </w:r>
      <w:r w:rsidR="00FB361E" w:rsidRPr="009D0F43">
        <w:rPr>
          <w:rFonts w:ascii="IRBadr" w:hAnsi="IRBadr" w:cs="IRBadr"/>
          <w:sz w:val="28"/>
          <w:szCs w:val="28"/>
          <w:rtl/>
        </w:rPr>
        <w:t>می‌کند</w:t>
      </w:r>
      <w:r w:rsidRPr="009D0F43">
        <w:rPr>
          <w:rFonts w:ascii="IRBadr" w:hAnsi="IRBadr" w:cs="IRBadr"/>
          <w:sz w:val="28"/>
          <w:szCs w:val="28"/>
          <w:rtl/>
        </w:rPr>
        <w:t xml:space="preserve">. روایت چهارم نیز در همین رابطه </w:t>
      </w:r>
      <w:r w:rsidR="00F276D2">
        <w:rPr>
          <w:rFonts w:ascii="IRBadr" w:hAnsi="IRBadr" w:cs="IRBadr"/>
          <w:sz w:val="28"/>
          <w:szCs w:val="28"/>
          <w:rtl/>
        </w:rPr>
        <w:t>واردشده</w:t>
      </w:r>
      <w:r w:rsidRPr="009D0F43">
        <w:rPr>
          <w:rFonts w:ascii="IRBadr" w:hAnsi="IRBadr" w:cs="IRBadr"/>
          <w:sz w:val="28"/>
          <w:szCs w:val="28"/>
          <w:rtl/>
        </w:rPr>
        <w:t xml:space="preserve"> است که روایتی معتبر است؛</w:t>
      </w:r>
    </w:p>
    <w:p w:rsidR="006E326B" w:rsidRPr="009D0F43" w:rsidRDefault="006E326B" w:rsidP="00FB361E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«وَ فِ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رِوَا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ةِ سَمَاعَةَ عَنْ أَبِ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قَالَ حَدُّ الزَّانِ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أَشَدِّ مَا </w:t>
      </w:r>
      <w:r w:rsidR="00FB361E"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یک</w:t>
      </w:r>
      <w:r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ونُ مِنَ الْحُدُودِ» </w:t>
      </w:r>
      <w:r w:rsidR="00FB361E" w:rsidRPr="009D0F43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5"/>
      </w:r>
    </w:p>
    <w:p w:rsidR="0071181D" w:rsidRPr="009D0F43" w:rsidRDefault="00F276D2" w:rsidP="00FB361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هم</w:t>
      </w:r>
      <w:r>
        <w:rPr>
          <w:rFonts w:ascii="IRBadr" w:hAnsi="IRBadr" w:cs="IRBadr" w:hint="cs"/>
          <w:sz w:val="28"/>
          <w:szCs w:val="28"/>
          <w:rtl/>
          <w:lang w:bidi="fa-IR"/>
        </w:rPr>
        <w:t>ین‌طور</w:t>
      </w:r>
      <w:r w:rsidR="0071181D" w:rsidRPr="009D0F43">
        <w:rPr>
          <w:rFonts w:ascii="IRBadr" w:hAnsi="IRBadr" w:cs="IRBadr"/>
          <w:sz w:val="28"/>
          <w:szCs w:val="28"/>
          <w:rtl/>
          <w:lang w:bidi="fa-IR"/>
        </w:rPr>
        <w:t xml:space="preserve"> روایت دیگری وجود دارد که اعظم جنایات باید اشد باشد.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71181D" w:rsidRPr="009D0F43">
        <w:rPr>
          <w:rFonts w:ascii="IRBadr" w:hAnsi="IRBadr" w:cs="IRBadr"/>
          <w:sz w:val="28"/>
          <w:szCs w:val="28"/>
          <w:rtl/>
          <w:lang w:bidi="fa-IR"/>
        </w:rPr>
        <w:t xml:space="preserve"> روایت در باب نهم از همین باب است که 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>می‌فرماید</w:t>
      </w:r>
      <w:r w:rsidR="0071181D" w:rsidRPr="009D0F43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FB361E" w:rsidRPr="009D0F43" w:rsidRDefault="00FB361E" w:rsidP="00FB361E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«عَبْدُ اللَّهِ بْنُ جَعْفَرٍ فِی قُرْبِ الْإِسْنَادِ عَنِ السِّنْدِی بْنِ مُحَمَّدٍ عَنْ أَبِی الْبَخْتَرِی عَنْ جَعْفَرٍ عَنْ أَبِیهِ عَنْ عَلِی ع قَالَ: حَدُّ الزَّانِی أَشَدُّ مِنْ حَدِّ الْقَاذِفِ- وَ حَدُّ الشَّارِبِ أَشَدُّ مِنْ حَدِّ الْقَاذِفِ» </w:t>
      </w:r>
      <w:r w:rsidRPr="009D0F43">
        <w:rPr>
          <w:rStyle w:val="FootnoteReference"/>
          <w:rFonts w:ascii="IRBadr" w:hAnsi="IRBadr" w:cs="IRBadr"/>
          <w:b/>
          <w:bCs/>
          <w:color w:val="000000" w:themeColor="text1"/>
          <w:sz w:val="20"/>
          <w:szCs w:val="20"/>
          <w:rtl/>
        </w:rPr>
        <w:footnoteReference w:id="6"/>
      </w:r>
    </w:p>
    <w:p w:rsidR="0071181D" w:rsidRPr="009D0F43" w:rsidRDefault="0071181D" w:rsidP="00FB361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D0F43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در روایات 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>معمولاً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قائل به اشد ضرب شده است و فقها از روایت ضربه معتدله اعراض 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>نموده‌اند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>.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مطلب علاوه بر روایات توسط آیه سوره نور نیز تقویت 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در آنجا که فرموده شده است؛</w:t>
      </w:r>
    </w:p>
    <w:p w:rsidR="00FB361E" w:rsidRPr="009D0F43" w:rsidRDefault="00FB361E" w:rsidP="00FB361E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9D0F43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«وَ لا تَأْخُذْکمْ بِهِما رَأْفَةٌ فِی دِینِ اللّهِ»</w:t>
      </w:r>
      <w:r w:rsidRPr="009D0F43"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7"/>
      </w:r>
    </w:p>
    <w:p w:rsidR="0071181D" w:rsidRPr="009D0F43" w:rsidRDefault="0071181D" w:rsidP="00FB361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که در این زمینه نباید شفقت و </w:t>
      </w:r>
      <w:r w:rsidR="00F276D2">
        <w:rPr>
          <w:rFonts w:ascii="IRBadr" w:hAnsi="IRBadr" w:cs="IRBadr"/>
          <w:sz w:val="28"/>
          <w:szCs w:val="28"/>
          <w:rtl/>
          <w:lang w:bidi="fa-IR"/>
        </w:rPr>
        <w:t>مهربان</w:t>
      </w:r>
      <w:r w:rsidR="00F276D2">
        <w:rPr>
          <w:rFonts w:ascii="IRBadr" w:hAnsi="IRBadr" w:cs="IRBadr" w:hint="cs"/>
          <w:sz w:val="28"/>
          <w:szCs w:val="28"/>
          <w:rtl/>
          <w:lang w:bidi="fa-IR"/>
        </w:rPr>
        <w:t>ی‌ای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وجود داشته باشد.</w:t>
      </w:r>
    </w:p>
    <w:p w:rsidR="0071181D" w:rsidRPr="009D0F43" w:rsidRDefault="0071181D" w:rsidP="00FB361E">
      <w:pPr>
        <w:pStyle w:val="Heading4"/>
        <w:ind w:firstLine="0"/>
        <w:rPr>
          <w:rFonts w:ascii="IRBadr" w:hAnsi="IRBadr" w:cs="IRBadr"/>
          <w:rtl/>
        </w:rPr>
      </w:pPr>
      <w:r w:rsidRPr="009D0F43">
        <w:rPr>
          <w:rFonts w:ascii="IRBadr" w:hAnsi="IRBadr" w:cs="IRBadr"/>
          <w:rtl/>
        </w:rPr>
        <w:t>موت مجرم در حین حد</w:t>
      </w:r>
    </w:p>
    <w:p w:rsidR="0071181D" w:rsidRPr="009D0F43" w:rsidRDefault="0071181D" w:rsidP="00FB361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این آخرین فرعی است که حضرت امام آن را مطرح 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>؛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فرد در زیر اجرای حد جان سپرد آیا لازم است </w:t>
      </w:r>
      <w:r w:rsidR="00F276D2">
        <w:rPr>
          <w:rFonts w:ascii="IRBadr" w:hAnsi="IRBadr" w:cs="IRBadr"/>
          <w:sz w:val="28"/>
          <w:szCs w:val="28"/>
          <w:rtl/>
          <w:lang w:bidi="fa-IR"/>
        </w:rPr>
        <w:t>د</w:t>
      </w:r>
      <w:r w:rsidR="00F276D2">
        <w:rPr>
          <w:rFonts w:ascii="IRBadr" w:hAnsi="IRBadr" w:cs="IRBadr" w:hint="cs"/>
          <w:sz w:val="28"/>
          <w:szCs w:val="28"/>
          <w:rtl/>
          <w:lang w:bidi="fa-IR"/>
        </w:rPr>
        <w:t>یه‌ای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پرداخت شود؟</w:t>
      </w:r>
    </w:p>
    <w:p w:rsidR="0071181D" w:rsidRPr="009D0F43" w:rsidRDefault="0071181D" w:rsidP="00FB361E">
      <w:pPr>
        <w:pStyle w:val="Heading4"/>
        <w:ind w:firstLine="0"/>
        <w:rPr>
          <w:rFonts w:ascii="IRBadr" w:hAnsi="IRBadr" w:cs="IRBadr"/>
          <w:rtl/>
        </w:rPr>
      </w:pPr>
      <w:r w:rsidRPr="009D0F43">
        <w:rPr>
          <w:rFonts w:ascii="IRBadr" w:hAnsi="IRBadr" w:cs="IRBadr"/>
          <w:rtl/>
        </w:rPr>
        <w:t>صور بحث</w:t>
      </w:r>
    </w:p>
    <w:p w:rsidR="0071181D" w:rsidRPr="009D0F43" w:rsidRDefault="0071181D" w:rsidP="00FB361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D0F43">
        <w:rPr>
          <w:rFonts w:ascii="IRBadr" w:hAnsi="IRBadr" w:cs="IRBadr"/>
          <w:sz w:val="28"/>
          <w:szCs w:val="28"/>
          <w:rtl/>
          <w:lang w:bidi="fa-IR"/>
        </w:rPr>
        <w:t>در اینجا دو صورت وجود دارد؛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حالت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اول این است که فرد در اجرای حد دچار افراط شده است،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این صورت به دلیل وجود تقصیر،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بعید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نیست که قائل به لزوم دیه و وجود ضمان شویم. صورت دوم این است که مجری تنها تکلیف شرعی خود را انجام داده است.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این مورد حکم این است که </w:t>
      </w:r>
      <w:r w:rsidR="00F276D2">
        <w:rPr>
          <w:rFonts w:ascii="IRBadr" w:hAnsi="IRBadr" w:cs="IRBadr"/>
          <w:sz w:val="28"/>
          <w:szCs w:val="28"/>
          <w:rtl/>
          <w:lang w:bidi="fa-IR"/>
        </w:rPr>
        <w:t>د</w:t>
      </w:r>
      <w:r w:rsidR="00F276D2">
        <w:rPr>
          <w:rFonts w:ascii="IRBadr" w:hAnsi="IRBadr" w:cs="IRBadr" w:hint="cs"/>
          <w:sz w:val="28"/>
          <w:szCs w:val="28"/>
          <w:rtl/>
          <w:lang w:bidi="fa-IR"/>
        </w:rPr>
        <w:t>یه‌ای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وجود ندارد.</w:t>
      </w:r>
    </w:p>
    <w:p w:rsidR="0071181D" w:rsidRPr="009D0F43" w:rsidRDefault="0071181D" w:rsidP="00FB361E">
      <w:pPr>
        <w:pStyle w:val="Heading4"/>
        <w:ind w:firstLine="0"/>
        <w:rPr>
          <w:rFonts w:ascii="IRBadr" w:hAnsi="IRBadr" w:cs="IRBadr"/>
          <w:rtl/>
        </w:rPr>
      </w:pPr>
      <w:r w:rsidRPr="009D0F43">
        <w:rPr>
          <w:rFonts w:ascii="IRBadr" w:hAnsi="IRBadr" w:cs="IRBadr"/>
          <w:rtl/>
        </w:rPr>
        <w:t>فرض عدم تقصیر مجری</w:t>
      </w:r>
    </w:p>
    <w:p w:rsidR="0071181D" w:rsidRPr="009D0F43" w:rsidRDefault="0071181D" w:rsidP="00FB361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D0F43">
        <w:rPr>
          <w:rFonts w:ascii="IRBadr" w:hAnsi="IRBadr" w:cs="IRBadr"/>
          <w:sz w:val="28"/>
          <w:szCs w:val="28"/>
          <w:rtl/>
          <w:lang w:bidi="fa-IR"/>
        </w:rPr>
        <w:t>در فرضی که مجری تنها تکلیف شرعی خود را انجام داده لکن مجرم،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276D2">
        <w:rPr>
          <w:rFonts w:ascii="IRBadr" w:hAnsi="IRBadr" w:cs="IRBadr"/>
          <w:sz w:val="28"/>
          <w:szCs w:val="28"/>
          <w:rtl/>
          <w:lang w:bidi="fa-IR"/>
        </w:rPr>
        <w:t>بافاصله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زمانی یا بلافاصله </w:t>
      </w:r>
      <w:r w:rsidR="00F276D2">
        <w:rPr>
          <w:rFonts w:ascii="IRBadr" w:hAnsi="IRBadr" w:cs="IRBadr"/>
          <w:sz w:val="28"/>
          <w:szCs w:val="28"/>
          <w:rtl/>
          <w:lang w:bidi="fa-IR"/>
        </w:rPr>
        <w:t>جان‌باخته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چهار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قول وجود دارد؛ قولی قائل به ضمان مطلق است که این قول نادری است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و مرحوم خوانساری در جامع المدارک قائل به این قول 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>شده‌اند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>.</w:t>
      </w:r>
      <w:r w:rsidR="00FB361E" w:rsidRPr="009D0F43">
        <w:rPr>
          <w:rFonts w:ascii="IRBadr" w:hAnsi="IRBadr" w:cs="IRBadr"/>
          <w:sz w:val="28"/>
          <w:szCs w:val="28"/>
          <w:rtl/>
          <w:lang w:bidi="fa-IR"/>
        </w:rPr>
        <w:t xml:space="preserve"> قول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دوم قائل به عدم ضمان </w:t>
      </w:r>
      <w:r w:rsidR="00F276D2">
        <w:rPr>
          <w:rFonts w:ascii="IRBadr" w:hAnsi="IRBadr" w:cs="IRBadr"/>
          <w:sz w:val="28"/>
          <w:szCs w:val="28"/>
          <w:rtl/>
          <w:lang w:bidi="fa-IR"/>
        </w:rPr>
        <w:t>به‌صورت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مطلق است. قول سوم میان </w:t>
      </w:r>
      <w:r w:rsidR="00F276D2">
        <w:rPr>
          <w:rFonts w:ascii="IRBadr" w:hAnsi="IRBadr" w:cs="IRBadr"/>
          <w:sz w:val="28"/>
          <w:szCs w:val="28"/>
          <w:rtl/>
          <w:lang w:bidi="fa-IR"/>
        </w:rPr>
        <w:t>حق‌الله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F276D2">
        <w:rPr>
          <w:rFonts w:ascii="IRBadr" w:hAnsi="IRBadr" w:cs="IRBadr"/>
          <w:sz w:val="28"/>
          <w:szCs w:val="28"/>
          <w:rtl/>
          <w:lang w:bidi="fa-IR"/>
        </w:rPr>
        <w:t>حق‌الناس</w:t>
      </w:r>
      <w:r w:rsidRPr="009D0F43">
        <w:rPr>
          <w:rFonts w:ascii="IRBadr" w:hAnsi="IRBadr" w:cs="IRBadr"/>
          <w:sz w:val="28"/>
          <w:szCs w:val="28"/>
          <w:rtl/>
          <w:lang w:bidi="fa-IR"/>
        </w:rPr>
        <w:t xml:space="preserve"> تفصیل قائل شده است و </w:t>
      </w:r>
      <w:r w:rsidR="00C079B3" w:rsidRPr="009D0F43">
        <w:rPr>
          <w:rFonts w:ascii="IRBadr" w:hAnsi="IRBadr" w:cs="IRBadr"/>
          <w:sz w:val="28"/>
          <w:szCs w:val="28"/>
          <w:rtl/>
          <w:lang w:bidi="fa-IR"/>
        </w:rPr>
        <w:t xml:space="preserve">قول چهارم تفصیل </w:t>
      </w:r>
      <w:r w:rsidR="00F276D2">
        <w:rPr>
          <w:rFonts w:ascii="IRBadr" w:hAnsi="IRBadr" w:cs="IRBadr"/>
          <w:sz w:val="28"/>
          <w:szCs w:val="28"/>
          <w:rtl/>
          <w:lang w:bidi="fa-IR"/>
        </w:rPr>
        <w:t>درزم</w:t>
      </w:r>
      <w:r w:rsidR="00F276D2">
        <w:rPr>
          <w:rFonts w:ascii="IRBadr" w:hAnsi="IRBadr" w:cs="IRBadr" w:hint="cs"/>
          <w:sz w:val="28"/>
          <w:szCs w:val="28"/>
          <w:rtl/>
          <w:lang w:bidi="fa-IR"/>
        </w:rPr>
        <w:t>ینهٔ</w:t>
      </w:r>
      <w:r w:rsidR="00C079B3" w:rsidRPr="009D0F43">
        <w:rPr>
          <w:rFonts w:ascii="IRBadr" w:hAnsi="IRBadr" w:cs="IRBadr"/>
          <w:sz w:val="28"/>
          <w:szCs w:val="28"/>
          <w:rtl/>
          <w:lang w:bidi="fa-IR"/>
        </w:rPr>
        <w:t xml:space="preserve"> دیگری است.</w:t>
      </w:r>
    </w:p>
    <w:p w:rsidR="00152670" w:rsidRPr="009D0F43" w:rsidRDefault="00152670" w:rsidP="00FB361E">
      <w:pPr>
        <w:bidi/>
        <w:jc w:val="both"/>
        <w:rPr>
          <w:rFonts w:ascii="IRBadr" w:hAnsi="IRBadr" w:cs="IRBadr"/>
          <w:rtl/>
          <w:lang w:bidi="fa-IR"/>
        </w:rPr>
      </w:pPr>
    </w:p>
    <w:sectPr w:rsidR="00152670" w:rsidRPr="009D0F43" w:rsidSect="000D580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779" w:rsidRDefault="00690779" w:rsidP="000D5800">
      <w:pPr>
        <w:spacing w:after="0" w:line="240" w:lineRule="auto"/>
      </w:pPr>
      <w:r>
        <w:separator/>
      </w:r>
    </w:p>
  </w:endnote>
  <w:endnote w:type="continuationSeparator" w:id="0">
    <w:p w:rsidR="00690779" w:rsidRDefault="00690779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altName w:val="Times New Roman"/>
    <w:charset w:val="00"/>
    <w:family w:val="auto"/>
    <w:pitch w:val="variable"/>
    <w:sig w:usb0="00000000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779" w:rsidRDefault="00690779" w:rsidP="009D0F43">
      <w:pPr>
        <w:bidi/>
        <w:spacing w:after="0" w:line="240" w:lineRule="auto"/>
      </w:pPr>
      <w:r>
        <w:separator/>
      </w:r>
    </w:p>
  </w:footnote>
  <w:footnote w:type="continuationSeparator" w:id="0">
    <w:p w:rsidR="00690779" w:rsidRDefault="00690779" w:rsidP="000D5800">
      <w:pPr>
        <w:spacing w:after="0" w:line="240" w:lineRule="auto"/>
      </w:pPr>
      <w:r>
        <w:continuationSeparator/>
      </w:r>
    </w:p>
  </w:footnote>
  <w:footnote w:id="1">
    <w:p w:rsidR="00C77D66" w:rsidRDefault="00C77D66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نور/2</w:t>
      </w:r>
    </w:p>
  </w:footnote>
  <w:footnote w:id="2">
    <w:p w:rsidR="00FB361E" w:rsidRDefault="00FB361E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FB361E">
        <w:rPr>
          <w:rFonts w:ascii="Noor_Titr" w:hAnsi="Noor_Titr" w:cs="B Badr" w:hint="cs"/>
          <w:b/>
          <w:bCs/>
          <w:color w:val="000000" w:themeColor="text1"/>
          <w:rtl/>
        </w:rPr>
        <w:t>وسائل الش</w:t>
      </w:r>
      <w:r>
        <w:rPr>
          <w:rFonts w:ascii="Noor_Titr" w:hAnsi="Noor_Titr" w:cs="B Badr" w:hint="cs"/>
          <w:b/>
          <w:bCs/>
          <w:color w:val="000000" w:themeColor="text1"/>
          <w:rtl/>
        </w:rPr>
        <w:t>ی</w:t>
      </w:r>
      <w:r w:rsidRPr="00FB361E">
        <w:rPr>
          <w:rFonts w:ascii="Noor_Titr" w:hAnsi="Noor_Titr" w:cs="B Badr" w:hint="cs"/>
          <w:b/>
          <w:bCs/>
          <w:color w:val="000000" w:themeColor="text1"/>
          <w:rtl/>
        </w:rPr>
        <w:t xml:space="preserve">عة؛ </w:t>
      </w:r>
      <w:r>
        <w:rPr>
          <w:rFonts w:ascii="Noor_Titr" w:hAnsi="Noor_Titr" w:cs="B Badr"/>
          <w:b/>
          <w:bCs/>
          <w:color w:val="000000" w:themeColor="text1"/>
          <w:rtl/>
        </w:rPr>
        <w:t>ج 28</w:t>
      </w:r>
      <w:r w:rsidRPr="00FB361E">
        <w:rPr>
          <w:rFonts w:ascii="Noor_Titr" w:hAnsi="Noor_Titr" w:cs="B Badr" w:hint="cs"/>
          <w:b/>
          <w:bCs/>
          <w:color w:val="000000" w:themeColor="text1"/>
          <w:rtl/>
        </w:rPr>
        <w:t>، ص: 92</w:t>
      </w:r>
    </w:p>
  </w:footnote>
  <w:footnote w:id="3">
    <w:p w:rsidR="00FB361E" w:rsidRDefault="00FB361E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FB361E">
        <w:rPr>
          <w:rFonts w:ascii="Noor_Titr" w:hAnsi="Noor_Titr" w:cs="B Badr" w:hint="cs"/>
          <w:b/>
          <w:bCs/>
          <w:color w:val="000000" w:themeColor="text1"/>
          <w:rtl/>
        </w:rPr>
        <w:t>تهذ</w:t>
      </w:r>
      <w:r>
        <w:rPr>
          <w:rFonts w:ascii="Noor_Titr" w:hAnsi="Noor_Titr" w:cs="B Badr" w:hint="cs"/>
          <w:b/>
          <w:bCs/>
          <w:color w:val="000000" w:themeColor="text1"/>
          <w:rtl/>
        </w:rPr>
        <w:t>ی</w:t>
      </w:r>
      <w:r w:rsidRPr="00FB361E">
        <w:rPr>
          <w:rFonts w:ascii="Noor_Titr" w:hAnsi="Noor_Titr" w:cs="B Badr" w:hint="cs"/>
          <w:b/>
          <w:bCs/>
          <w:color w:val="000000" w:themeColor="text1"/>
          <w:rtl/>
        </w:rPr>
        <w:t>ب الأح</w:t>
      </w:r>
      <w:r>
        <w:rPr>
          <w:rFonts w:ascii="Noor_Titr" w:hAnsi="Noor_Titr" w:cs="B Badr" w:hint="cs"/>
          <w:b/>
          <w:bCs/>
          <w:color w:val="000000" w:themeColor="text1"/>
          <w:rtl/>
        </w:rPr>
        <w:t>ک</w:t>
      </w:r>
      <w:r w:rsidRPr="00FB361E">
        <w:rPr>
          <w:rFonts w:ascii="Noor_Titr" w:hAnsi="Noor_Titr" w:cs="B Badr" w:hint="cs"/>
          <w:b/>
          <w:bCs/>
          <w:color w:val="000000" w:themeColor="text1"/>
          <w:rtl/>
        </w:rPr>
        <w:t xml:space="preserve">ام؛ </w:t>
      </w:r>
      <w:r>
        <w:rPr>
          <w:rFonts w:ascii="Noor_Titr" w:hAnsi="Noor_Titr" w:cs="B Badr"/>
          <w:b/>
          <w:bCs/>
          <w:color w:val="000000" w:themeColor="text1"/>
          <w:rtl/>
        </w:rPr>
        <w:t>ج 10</w:t>
      </w:r>
      <w:r w:rsidRPr="00FB361E">
        <w:rPr>
          <w:rFonts w:ascii="Noor_Titr" w:hAnsi="Noor_Titr" w:cs="B Badr" w:hint="cs"/>
          <w:b/>
          <w:bCs/>
          <w:color w:val="000000" w:themeColor="text1"/>
          <w:rtl/>
        </w:rPr>
        <w:t>، ص: 31</w:t>
      </w:r>
    </w:p>
  </w:footnote>
  <w:footnote w:id="4">
    <w:p w:rsidR="00FB361E" w:rsidRDefault="00FB361E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FB361E">
        <w:rPr>
          <w:rFonts w:ascii="Noor_Titr" w:hAnsi="Noor_Titr" w:cs="B Badr" w:hint="cs"/>
          <w:b/>
          <w:bCs/>
          <w:color w:val="000000" w:themeColor="text1"/>
          <w:rtl/>
        </w:rPr>
        <w:t>تهذ</w:t>
      </w:r>
      <w:r>
        <w:rPr>
          <w:rFonts w:ascii="Noor_Titr" w:hAnsi="Noor_Titr" w:cs="B Badr" w:hint="cs"/>
          <w:b/>
          <w:bCs/>
          <w:color w:val="000000" w:themeColor="text1"/>
          <w:rtl/>
        </w:rPr>
        <w:t>ی</w:t>
      </w:r>
      <w:r w:rsidRPr="00FB361E">
        <w:rPr>
          <w:rFonts w:ascii="Noor_Titr" w:hAnsi="Noor_Titr" w:cs="B Badr" w:hint="cs"/>
          <w:b/>
          <w:bCs/>
          <w:color w:val="000000" w:themeColor="text1"/>
          <w:rtl/>
        </w:rPr>
        <w:t>ب الأح</w:t>
      </w:r>
      <w:r>
        <w:rPr>
          <w:rFonts w:ascii="Noor_Titr" w:hAnsi="Noor_Titr" w:cs="B Badr" w:hint="cs"/>
          <w:b/>
          <w:bCs/>
          <w:color w:val="000000" w:themeColor="text1"/>
          <w:rtl/>
        </w:rPr>
        <w:t>ک</w:t>
      </w:r>
      <w:r w:rsidRPr="00FB361E">
        <w:rPr>
          <w:rFonts w:ascii="Noor_Titr" w:hAnsi="Noor_Titr" w:cs="B Badr" w:hint="cs"/>
          <w:b/>
          <w:bCs/>
          <w:color w:val="000000" w:themeColor="text1"/>
          <w:rtl/>
        </w:rPr>
        <w:t xml:space="preserve">ام؛ </w:t>
      </w:r>
      <w:r>
        <w:rPr>
          <w:rFonts w:ascii="Noor_Titr" w:hAnsi="Noor_Titr" w:cs="B Badr"/>
          <w:b/>
          <w:bCs/>
          <w:color w:val="000000" w:themeColor="text1"/>
          <w:rtl/>
        </w:rPr>
        <w:t>ج 10</w:t>
      </w:r>
      <w:r w:rsidRPr="00FB361E">
        <w:rPr>
          <w:rFonts w:ascii="Noor_Titr" w:hAnsi="Noor_Titr" w:cs="B Badr" w:hint="cs"/>
          <w:b/>
          <w:bCs/>
          <w:color w:val="000000" w:themeColor="text1"/>
          <w:rtl/>
        </w:rPr>
        <w:t>، ص: 51</w:t>
      </w:r>
    </w:p>
  </w:footnote>
  <w:footnote w:id="5">
    <w:p w:rsidR="00FB361E" w:rsidRDefault="00FB361E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FB361E">
        <w:rPr>
          <w:rFonts w:ascii="Noor_Titr" w:hAnsi="Noor_Titr" w:cs="B Badr" w:hint="cs"/>
          <w:b/>
          <w:bCs/>
          <w:color w:val="000000" w:themeColor="text1"/>
          <w:rtl/>
        </w:rPr>
        <w:t xml:space="preserve">من لا </w:t>
      </w:r>
      <w:r>
        <w:rPr>
          <w:rFonts w:ascii="Noor_Titr" w:hAnsi="Noor_Titr" w:cs="B Badr" w:hint="cs"/>
          <w:b/>
          <w:bCs/>
          <w:color w:val="000000" w:themeColor="text1"/>
          <w:rtl/>
        </w:rPr>
        <w:t>ی</w:t>
      </w:r>
      <w:r w:rsidRPr="00FB361E">
        <w:rPr>
          <w:rFonts w:ascii="Noor_Titr" w:hAnsi="Noor_Titr" w:cs="B Badr" w:hint="cs"/>
          <w:b/>
          <w:bCs/>
          <w:color w:val="000000" w:themeColor="text1"/>
          <w:rtl/>
        </w:rPr>
        <w:t>حضره الفق</w:t>
      </w:r>
      <w:r>
        <w:rPr>
          <w:rFonts w:ascii="Noor_Titr" w:hAnsi="Noor_Titr" w:cs="B Badr" w:hint="cs"/>
          <w:b/>
          <w:bCs/>
          <w:color w:val="000000" w:themeColor="text1"/>
          <w:rtl/>
        </w:rPr>
        <w:t>ی</w:t>
      </w:r>
      <w:r w:rsidRPr="00FB361E">
        <w:rPr>
          <w:rFonts w:ascii="Noor_Titr" w:hAnsi="Noor_Titr" w:cs="B Badr" w:hint="cs"/>
          <w:b/>
          <w:bCs/>
          <w:color w:val="000000" w:themeColor="text1"/>
          <w:rtl/>
        </w:rPr>
        <w:t xml:space="preserve">ه؛ </w:t>
      </w:r>
      <w:r>
        <w:rPr>
          <w:rFonts w:ascii="Noor_Titr" w:hAnsi="Noor_Titr" w:cs="B Badr"/>
          <w:b/>
          <w:bCs/>
          <w:color w:val="000000" w:themeColor="text1"/>
          <w:rtl/>
        </w:rPr>
        <w:t>ج 4</w:t>
      </w:r>
      <w:r w:rsidRPr="00FB361E">
        <w:rPr>
          <w:rFonts w:ascii="Noor_Titr" w:hAnsi="Noor_Titr" w:cs="B Badr" w:hint="cs"/>
          <w:b/>
          <w:bCs/>
          <w:color w:val="000000" w:themeColor="text1"/>
          <w:rtl/>
        </w:rPr>
        <w:t>، ص: 29</w:t>
      </w:r>
    </w:p>
  </w:footnote>
  <w:footnote w:id="6">
    <w:p w:rsidR="00FB361E" w:rsidRDefault="00FB361E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FB361E">
        <w:rPr>
          <w:rFonts w:ascii="Noor_Titr" w:hAnsi="Noor_Titr" w:cs="B Badr" w:hint="cs"/>
          <w:b/>
          <w:bCs/>
          <w:color w:val="000000" w:themeColor="text1"/>
          <w:rtl/>
        </w:rPr>
        <w:t>وسائل الش</w:t>
      </w:r>
      <w:r>
        <w:rPr>
          <w:rFonts w:ascii="Noor_Titr" w:hAnsi="Noor_Titr" w:cs="B Badr" w:hint="cs"/>
          <w:b/>
          <w:bCs/>
          <w:color w:val="000000" w:themeColor="text1"/>
          <w:rtl/>
        </w:rPr>
        <w:t>ی</w:t>
      </w:r>
      <w:r w:rsidRPr="00FB361E">
        <w:rPr>
          <w:rFonts w:ascii="Noor_Titr" w:hAnsi="Noor_Titr" w:cs="B Badr" w:hint="cs"/>
          <w:b/>
          <w:bCs/>
          <w:color w:val="000000" w:themeColor="text1"/>
          <w:rtl/>
        </w:rPr>
        <w:t xml:space="preserve">عة؛ </w:t>
      </w:r>
      <w:r>
        <w:rPr>
          <w:rFonts w:ascii="Noor_Titr" w:hAnsi="Noor_Titr" w:cs="B Badr"/>
          <w:b/>
          <w:bCs/>
          <w:color w:val="000000" w:themeColor="text1"/>
          <w:rtl/>
        </w:rPr>
        <w:t>ج 28</w:t>
      </w:r>
      <w:r w:rsidRPr="00FB361E">
        <w:rPr>
          <w:rFonts w:ascii="Noor_Titr" w:hAnsi="Noor_Titr" w:cs="B Badr" w:hint="cs"/>
          <w:b/>
          <w:bCs/>
          <w:color w:val="000000" w:themeColor="text1"/>
          <w:rtl/>
        </w:rPr>
        <w:t>، ص: 94</w:t>
      </w:r>
    </w:p>
  </w:footnote>
  <w:footnote w:id="7">
    <w:p w:rsidR="00FB361E" w:rsidRDefault="00FB361E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نور/2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EC4912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527F3DF6" wp14:editId="7678D7E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8E0D8F0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0" w:name="OLE_LINK1"/>
    <w:bookmarkStart w:id="11" w:name="OLE_LINK2"/>
    <w:r>
      <w:rPr>
        <w:noProof/>
        <w:lang w:bidi="fa-IR"/>
      </w:rPr>
      <w:drawing>
        <wp:inline distT="0" distB="0" distL="0" distR="0" wp14:anchorId="14FF1149" wp14:editId="1846CDB4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0"/>
    <w:bookmarkEnd w:id="11"/>
    <w:r w:rsidR="00FB361E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EC4912">
      <w:rPr>
        <w:rFonts w:ascii="IranNastaliq" w:hAnsi="IranNastaliq" w:cs="IranNastaliq" w:hint="cs"/>
        <w:sz w:val="40"/>
        <w:szCs w:val="40"/>
        <w:rtl/>
      </w:rPr>
      <w:t>772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8A3"/>
    <w:rsid w:val="000075C7"/>
    <w:rsid w:val="000228A2"/>
    <w:rsid w:val="000324F1"/>
    <w:rsid w:val="00041FE0"/>
    <w:rsid w:val="00052BA3"/>
    <w:rsid w:val="0006363E"/>
    <w:rsid w:val="000776ED"/>
    <w:rsid w:val="00080DFF"/>
    <w:rsid w:val="00085ED5"/>
    <w:rsid w:val="000A1A51"/>
    <w:rsid w:val="000D2D0D"/>
    <w:rsid w:val="000D5800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914BD"/>
    <w:rsid w:val="00296034"/>
    <w:rsid w:val="00297263"/>
    <w:rsid w:val="002C56FD"/>
    <w:rsid w:val="002D49E4"/>
    <w:rsid w:val="002E450B"/>
    <w:rsid w:val="002E73F9"/>
    <w:rsid w:val="002F05B9"/>
    <w:rsid w:val="00302A58"/>
    <w:rsid w:val="00302DBA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4008C7"/>
    <w:rsid w:val="00405199"/>
    <w:rsid w:val="00410699"/>
    <w:rsid w:val="00415360"/>
    <w:rsid w:val="004343F3"/>
    <w:rsid w:val="0044591E"/>
    <w:rsid w:val="00457CBA"/>
    <w:rsid w:val="00460004"/>
    <w:rsid w:val="004651D2"/>
    <w:rsid w:val="00465D26"/>
    <w:rsid w:val="004679F8"/>
    <w:rsid w:val="004B337F"/>
    <w:rsid w:val="004C3D99"/>
    <w:rsid w:val="004F3596"/>
    <w:rsid w:val="00572E2D"/>
    <w:rsid w:val="00592103"/>
    <w:rsid w:val="005941DD"/>
    <w:rsid w:val="005A545E"/>
    <w:rsid w:val="005A5862"/>
    <w:rsid w:val="005B0852"/>
    <w:rsid w:val="005C06AE"/>
    <w:rsid w:val="00610C18"/>
    <w:rsid w:val="00612385"/>
    <w:rsid w:val="0061376C"/>
    <w:rsid w:val="00636EFA"/>
    <w:rsid w:val="0066229C"/>
    <w:rsid w:val="00690779"/>
    <w:rsid w:val="0069696C"/>
    <w:rsid w:val="006A085A"/>
    <w:rsid w:val="006D3A87"/>
    <w:rsid w:val="006E326B"/>
    <w:rsid w:val="006F01B4"/>
    <w:rsid w:val="0071181D"/>
    <w:rsid w:val="00717A84"/>
    <w:rsid w:val="007344F1"/>
    <w:rsid w:val="00734D59"/>
    <w:rsid w:val="0073609B"/>
    <w:rsid w:val="00747D56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A64AA"/>
    <w:rsid w:val="007B6FEB"/>
    <w:rsid w:val="007C1EF7"/>
    <w:rsid w:val="007C25D4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644F4"/>
    <w:rsid w:val="00882665"/>
    <w:rsid w:val="00883733"/>
    <w:rsid w:val="008965D2"/>
    <w:rsid w:val="008A236D"/>
    <w:rsid w:val="008B565A"/>
    <w:rsid w:val="008C3414"/>
    <w:rsid w:val="008D36D5"/>
    <w:rsid w:val="008E3903"/>
    <w:rsid w:val="008F63E3"/>
    <w:rsid w:val="00913C3B"/>
    <w:rsid w:val="00915509"/>
    <w:rsid w:val="00927388"/>
    <w:rsid w:val="009274FE"/>
    <w:rsid w:val="009401AC"/>
    <w:rsid w:val="00944677"/>
    <w:rsid w:val="009613AC"/>
    <w:rsid w:val="00980643"/>
    <w:rsid w:val="009B46BC"/>
    <w:rsid w:val="009B4FEF"/>
    <w:rsid w:val="009B61C3"/>
    <w:rsid w:val="009C7B4F"/>
    <w:rsid w:val="009D0F43"/>
    <w:rsid w:val="009F4EB3"/>
    <w:rsid w:val="00A06D48"/>
    <w:rsid w:val="00A21834"/>
    <w:rsid w:val="00A31C17"/>
    <w:rsid w:val="00A31FDE"/>
    <w:rsid w:val="00A35AC2"/>
    <w:rsid w:val="00A37C77"/>
    <w:rsid w:val="00A5418D"/>
    <w:rsid w:val="00A564C0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63F15"/>
    <w:rsid w:val="00BB5F7E"/>
    <w:rsid w:val="00BC26F6"/>
    <w:rsid w:val="00BC4833"/>
    <w:rsid w:val="00BD3122"/>
    <w:rsid w:val="00BD40DA"/>
    <w:rsid w:val="00BF3D67"/>
    <w:rsid w:val="00C079B3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77D66"/>
    <w:rsid w:val="00C84FC0"/>
    <w:rsid w:val="00C9244A"/>
    <w:rsid w:val="00CB5DA3"/>
    <w:rsid w:val="00CE31E6"/>
    <w:rsid w:val="00CE3B74"/>
    <w:rsid w:val="00CF3E29"/>
    <w:rsid w:val="00CF42E2"/>
    <w:rsid w:val="00CF7916"/>
    <w:rsid w:val="00D158F3"/>
    <w:rsid w:val="00D3665C"/>
    <w:rsid w:val="00D508CC"/>
    <w:rsid w:val="00D50F4B"/>
    <w:rsid w:val="00D60547"/>
    <w:rsid w:val="00D60F37"/>
    <w:rsid w:val="00D66444"/>
    <w:rsid w:val="00D76353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2554C"/>
    <w:rsid w:val="00E52457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C4912"/>
    <w:rsid w:val="00EE1C07"/>
    <w:rsid w:val="00EE2C91"/>
    <w:rsid w:val="00EE3979"/>
    <w:rsid w:val="00EF138C"/>
    <w:rsid w:val="00F034CE"/>
    <w:rsid w:val="00F10A0F"/>
    <w:rsid w:val="00F276D2"/>
    <w:rsid w:val="00F40284"/>
    <w:rsid w:val="00F67976"/>
    <w:rsid w:val="00F70BE1"/>
    <w:rsid w:val="00FB361E"/>
    <w:rsid w:val="00FB78A3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FB78A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C77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C77D6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9D0F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FB78A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C77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C77D6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9D0F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80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B3FD0-99E9-46A9-AECA-987EDC8BA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366</TotalTime>
  <Pages>7</Pages>
  <Words>1392</Words>
  <Characters>7938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22</cp:revision>
  <dcterms:created xsi:type="dcterms:W3CDTF">2014-12-20T09:56:00Z</dcterms:created>
  <dcterms:modified xsi:type="dcterms:W3CDTF">2015-08-13T07:04:00Z</dcterms:modified>
</cp:coreProperties>
</file>